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E0AA9" w:rsidRDefault="005E0AA9">
      <w:pPr>
        <w:spacing w:after="0" w:line="240" w:lineRule="auto"/>
        <w:jc w:val="center"/>
        <w:rPr>
          <w:rFonts w:ascii="Arial" w:eastAsia="Arial" w:hAnsi="Arial" w:cs="Arial"/>
          <w:b/>
          <w:sz w:val="24"/>
          <w:szCs w:val="24"/>
          <w:highlight w:val="white"/>
        </w:rPr>
      </w:pPr>
    </w:p>
    <w:p w:rsidR="005E0AA9" w:rsidRDefault="0000586B">
      <w:pPr>
        <w:spacing w:after="0" w:line="240" w:lineRule="auto"/>
        <w:rPr>
          <w:rFonts w:ascii="Arial" w:eastAsia="Arial" w:hAnsi="Arial" w:cs="Arial"/>
          <w:sz w:val="24"/>
          <w:szCs w:val="24"/>
        </w:rPr>
      </w:pPr>
      <w:r>
        <w:rPr>
          <w:rFonts w:ascii="Arial" w:eastAsia="Arial" w:hAnsi="Arial" w:cs="Arial"/>
          <w:sz w:val="24"/>
          <w:szCs w:val="24"/>
        </w:rPr>
        <w:t>Bogotá D.C., 29 de abril de 2025</w:t>
      </w:r>
    </w:p>
    <w:p w:rsidR="005E0AA9" w:rsidRDefault="005E0AA9">
      <w:pPr>
        <w:spacing w:after="0" w:line="240" w:lineRule="auto"/>
        <w:rPr>
          <w:rFonts w:ascii="Arial" w:eastAsia="Arial" w:hAnsi="Arial" w:cs="Arial"/>
          <w:sz w:val="24"/>
          <w:szCs w:val="24"/>
        </w:rPr>
      </w:pPr>
    </w:p>
    <w:p w:rsidR="005E0AA9" w:rsidRDefault="005E0AA9">
      <w:pPr>
        <w:spacing w:after="0" w:line="240" w:lineRule="auto"/>
        <w:rPr>
          <w:rFonts w:ascii="Arial" w:eastAsia="Arial" w:hAnsi="Arial" w:cs="Arial"/>
          <w:sz w:val="24"/>
          <w:szCs w:val="24"/>
        </w:rPr>
      </w:pPr>
    </w:p>
    <w:p w:rsidR="005E0AA9" w:rsidRDefault="0000586B">
      <w:pPr>
        <w:spacing w:after="0" w:line="240" w:lineRule="auto"/>
        <w:rPr>
          <w:rFonts w:ascii="Arial" w:eastAsia="Arial" w:hAnsi="Arial" w:cs="Arial"/>
          <w:b/>
          <w:sz w:val="24"/>
          <w:szCs w:val="24"/>
        </w:rPr>
      </w:pPr>
      <w:r>
        <w:rPr>
          <w:rFonts w:ascii="Arial" w:eastAsia="Arial" w:hAnsi="Arial" w:cs="Arial"/>
          <w:sz w:val="24"/>
          <w:szCs w:val="24"/>
        </w:rPr>
        <w:t>Doctora</w:t>
      </w:r>
    </w:p>
    <w:p w:rsidR="005E0AA9" w:rsidRDefault="0000586B">
      <w:pPr>
        <w:spacing w:after="0" w:line="240" w:lineRule="auto"/>
        <w:rPr>
          <w:rFonts w:ascii="Arial" w:eastAsia="Arial" w:hAnsi="Arial" w:cs="Arial"/>
          <w:b/>
          <w:sz w:val="24"/>
          <w:szCs w:val="24"/>
          <w:highlight w:val="white"/>
        </w:rPr>
      </w:pPr>
      <w:r>
        <w:rPr>
          <w:rFonts w:ascii="Arial" w:eastAsia="Arial" w:hAnsi="Arial" w:cs="Arial"/>
          <w:b/>
          <w:sz w:val="24"/>
          <w:szCs w:val="24"/>
        </w:rPr>
        <w:t>LUZ ANGÉLICA VIZCAÍNO</w:t>
      </w:r>
    </w:p>
    <w:p w:rsidR="005E0AA9" w:rsidRDefault="0000586B">
      <w:pPr>
        <w:spacing w:after="0" w:line="240" w:lineRule="auto"/>
        <w:rPr>
          <w:rFonts w:ascii="Arial" w:eastAsia="Arial" w:hAnsi="Arial" w:cs="Arial"/>
          <w:sz w:val="24"/>
          <w:szCs w:val="24"/>
          <w:highlight w:val="white"/>
        </w:rPr>
      </w:pPr>
      <w:r>
        <w:rPr>
          <w:rFonts w:ascii="Arial" w:eastAsia="Arial" w:hAnsi="Arial" w:cs="Arial"/>
          <w:sz w:val="24"/>
          <w:szCs w:val="24"/>
          <w:highlight w:val="white"/>
        </w:rPr>
        <w:t>Secretaria General</w:t>
      </w:r>
    </w:p>
    <w:p w:rsidR="005E0AA9" w:rsidRDefault="0000586B">
      <w:pPr>
        <w:spacing w:after="0" w:line="240" w:lineRule="auto"/>
        <w:rPr>
          <w:rFonts w:ascii="Arial" w:eastAsia="Arial" w:hAnsi="Arial" w:cs="Arial"/>
          <w:sz w:val="24"/>
          <w:szCs w:val="24"/>
          <w:highlight w:val="white"/>
        </w:rPr>
      </w:pPr>
      <w:r>
        <w:rPr>
          <w:rFonts w:ascii="Arial" w:eastAsia="Arial" w:hAnsi="Arial" w:cs="Arial"/>
          <w:sz w:val="24"/>
          <w:szCs w:val="24"/>
          <w:highlight w:val="white"/>
        </w:rPr>
        <w:t>Concejo de Bogotá D. C.</w:t>
      </w:r>
    </w:p>
    <w:p w:rsidR="005E0AA9" w:rsidRDefault="0000586B">
      <w:pPr>
        <w:spacing w:after="0" w:line="240" w:lineRule="auto"/>
        <w:rPr>
          <w:rFonts w:ascii="Arial" w:eastAsia="Arial" w:hAnsi="Arial" w:cs="Arial"/>
          <w:sz w:val="24"/>
          <w:szCs w:val="24"/>
        </w:rPr>
      </w:pPr>
      <w:r>
        <w:rPr>
          <w:rFonts w:ascii="Arial" w:eastAsia="Arial" w:hAnsi="Arial" w:cs="Arial"/>
          <w:sz w:val="24"/>
          <w:szCs w:val="24"/>
        </w:rPr>
        <w:t>Ciudad</w:t>
      </w:r>
    </w:p>
    <w:p w:rsidR="005E0AA9" w:rsidRDefault="0000586B">
      <w:pPr>
        <w:spacing w:after="0" w:line="240" w:lineRule="auto"/>
        <w:jc w:val="right"/>
        <w:rPr>
          <w:rFonts w:ascii="Arial" w:eastAsia="Arial" w:hAnsi="Arial" w:cs="Arial"/>
          <w:sz w:val="24"/>
          <w:szCs w:val="24"/>
        </w:rPr>
      </w:pPr>
      <w:r>
        <w:rPr>
          <w:rFonts w:ascii="Arial" w:eastAsia="Arial" w:hAnsi="Arial" w:cs="Arial"/>
          <w:b/>
          <w:sz w:val="24"/>
          <w:szCs w:val="24"/>
        </w:rPr>
        <w:t xml:space="preserve">Asunto: </w:t>
      </w:r>
      <w:r>
        <w:rPr>
          <w:rFonts w:ascii="Arial" w:eastAsia="Arial" w:hAnsi="Arial" w:cs="Arial"/>
          <w:sz w:val="24"/>
          <w:szCs w:val="24"/>
        </w:rPr>
        <w:t>Radicación Proyecto de Acuerdo.</w:t>
      </w:r>
    </w:p>
    <w:p w:rsidR="005E0AA9" w:rsidRDefault="005E0AA9">
      <w:pPr>
        <w:spacing w:after="0" w:line="240" w:lineRule="auto"/>
        <w:rPr>
          <w:rFonts w:ascii="Arial" w:eastAsia="Arial" w:hAnsi="Arial" w:cs="Arial"/>
          <w:sz w:val="24"/>
          <w:szCs w:val="24"/>
        </w:rPr>
      </w:pPr>
    </w:p>
    <w:p w:rsidR="005E0AA9" w:rsidRDefault="0000586B">
      <w:pPr>
        <w:spacing w:after="0" w:line="240" w:lineRule="auto"/>
        <w:rPr>
          <w:rFonts w:ascii="Arial" w:eastAsia="Arial" w:hAnsi="Arial" w:cs="Arial"/>
          <w:sz w:val="24"/>
          <w:szCs w:val="24"/>
        </w:rPr>
      </w:pPr>
      <w:r>
        <w:rPr>
          <w:rFonts w:ascii="Arial" w:eastAsia="Arial" w:hAnsi="Arial" w:cs="Arial"/>
          <w:sz w:val="24"/>
          <w:szCs w:val="24"/>
        </w:rPr>
        <w:t>Apreciada Doctora:</w:t>
      </w:r>
    </w:p>
    <w:p w:rsidR="005E0AA9" w:rsidRDefault="005E0AA9">
      <w:pPr>
        <w:spacing w:after="0" w:line="240" w:lineRule="auto"/>
        <w:rPr>
          <w:rFonts w:ascii="Arial" w:eastAsia="Arial" w:hAnsi="Arial" w:cs="Arial"/>
          <w:sz w:val="24"/>
          <w:szCs w:val="24"/>
        </w:rPr>
      </w:pPr>
    </w:p>
    <w:p w:rsidR="005E0AA9" w:rsidRDefault="005E0AA9">
      <w:pPr>
        <w:spacing w:after="0" w:line="240" w:lineRule="auto"/>
        <w:jc w:val="both"/>
        <w:rPr>
          <w:rFonts w:ascii="Arial" w:eastAsia="Arial" w:hAnsi="Arial" w:cs="Arial"/>
          <w:sz w:val="24"/>
          <w:szCs w:val="24"/>
        </w:rPr>
      </w:pPr>
    </w:p>
    <w:p w:rsidR="005E0AA9" w:rsidRDefault="0000586B">
      <w:pPr>
        <w:spacing w:after="0" w:line="276" w:lineRule="auto"/>
        <w:jc w:val="both"/>
        <w:rPr>
          <w:rFonts w:ascii="Arial" w:eastAsia="Arial" w:hAnsi="Arial" w:cs="Arial"/>
          <w:b/>
          <w:i/>
          <w:sz w:val="24"/>
          <w:szCs w:val="24"/>
        </w:rPr>
      </w:pPr>
      <w:r>
        <w:rPr>
          <w:rFonts w:ascii="Arial" w:eastAsia="Arial" w:hAnsi="Arial" w:cs="Arial"/>
          <w:sz w:val="24"/>
          <w:szCs w:val="24"/>
        </w:rPr>
        <w:t>Por medio de la presente y de conformidad con lo dispuesto en los artículos 65, 66 y 67 del Acuerdo 741 de 2019, modificado por el Acuerdo 837 de 2022, me permito radicar ante su despacho el Proyecto de Acuerdo</w:t>
      </w:r>
      <w:r>
        <w:rPr>
          <w:rFonts w:ascii="Arial" w:eastAsia="Arial" w:hAnsi="Arial" w:cs="Arial"/>
          <w:color w:val="FF0000"/>
          <w:sz w:val="24"/>
          <w:szCs w:val="24"/>
        </w:rPr>
        <w:t xml:space="preserve"> </w:t>
      </w:r>
      <w:r>
        <w:rPr>
          <w:rFonts w:ascii="Arial" w:eastAsia="Arial" w:hAnsi="Arial" w:cs="Arial"/>
          <w:b/>
          <w:i/>
          <w:sz w:val="24"/>
          <w:szCs w:val="24"/>
        </w:rPr>
        <w:t>“POR MEDIO DEL CUAL SE ESTABLECEN LINEAMIENTOS PARA LA PREVENCIÓN DEL RECLUTAMIENTO, UTILIZACIÓN, USO, VIOLENCIA Y EXPLOTACIÓN SEXUAL EN CONTRA DE NIÑOS, NIÑAS, ADOLESCENTES Y JÓVENES (NNAJ) POR PARTE DE GRUPOS ARMADOS ORGANIZADOS (GAO) Y GRUPOS DELICTIVOS ORGANIZADOS (GDO) EN EL DISTRITO CAPITAL”</w:t>
      </w:r>
    </w:p>
    <w:p w:rsidR="005E0AA9" w:rsidRDefault="005E0AA9">
      <w:pPr>
        <w:spacing w:after="0" w:line="276" w:lineRule="auto"/>
        <w:jc w:val="both"/>
        <w:rPr>
          <w:rFonts w:ascii="Arial" w:eastAsia="Arial" w:hAnsi="Arial" w:cs="Arial"/>
          <w:b/>
          <w:i/>
          <w:color w:val="FF0000"/>
          <w:sz w:val="24"/>
          <w:szCs w:val="24"/>
        </w:rPr>
      </w:pPr>
    </w:p>
    <w:p w:rsidR="005E0AA9" w:rsidRDefault="005E0AA9">
      <w:pPr>
        <w:spacing w:after="0" w:line="240" w:lineRule="auto"/>
        <w:jc w:val="both"/>
        <w:rPr>
          <w:rFonts w:ascii="Arial" w:eastAsia="Arial" w:hAnsi="Arial" w:cs="Arial"/>
          <w:sz w:val="24"/>
          <w:szCs w:val="24"/>
        </w:rPr>
      </w:pPr>
    </w:p>
    <w:p w:rsidR="005E0AA9" w:rsidRDefault="0000586B">
      <w:pPr>
        <w:spacing w:after="0" w:line="240" w:lineRule="auto"/>
        <w:jc w:val="both"/>
        <w:rPr>
          <w:rFonts w:ascii="Arial" w:eastAsia="Arial" w:hAnsi="Arial" w:cs="Arial"/>
          <w:b/>
          <w:sz w:val="24"/>
          <w:szCs w:val="24"/>
        </w:rPr>
      </w:pPr>
      <w:r>
        <w:rPr>
          <w:rFonts w:ascii="Arial" w:eastAsia="Arial" w:hAnsi="Arial" w:cs="Arial"/>
          <w:sz w:val="24"/>
          <w:szCs w:val="24"/>
        </w:rPr>
        <w:t>Cordialmente,</w:t>
      </w:r>
    </w:p>
    <w:p w:rsidR="005E0AA9" w:rsidRDefault="005E0AA9">
      <w:pPr>
        <w:spacing w:after="0" w:line="240" w:lineRule="auto"/>
        <w:jc w:val="center"/>
        <w:rPr>
          <w:rFonts w:ascii="Arial" w:eastAsia="Arial" w:hAnsi="Arial" w:cs="Arial"/>
          <w:b/>
          <w:sz w:val="24"/>
          <w:szCs w:val="24"/>
        </w:rPr>
      </w:pPr>
    </w:p>
    <w:p w:rsidR="005E0AA9" w:rsidRDefault="005E0AA9">
      <w:pPr>
        <w:spacing w:after="0" w:line="240" w:lineRule="auto"/>
        <w:rPr>
          <w:rFonts w:ascii="Arial" w:eastAsia="Arial" w:hAnsi="Arial" w:cs="Arial"/>
          <w:b/>
          <w:sz w:val="24"/>
          <w:szCs w:val="24"/>
        </w:rPr>
      </w:pPr>
    </w:p>
    <w:p w:rsidR="005E0AA9" w:rsidRDefault="005E0AA9">
      <w:pPr>
        <w:spacing w:after="0" w:line="240" w:lineRule="auto"/>
        <w:rPr>
          <w:rFonts w:ascii="Arial" w:eastAsia="Arial" w:hAnsi="Arial" w:cs="Arial"/>
          <w:b/>
          <w:sz w:val="24"/>
          <w:szCs w:val="24"/>
        </w:rPr>
      </w:pPr>
    </w:p>
    <w:p w:rsidR="005E0AA9" w:rsidRDefault="005E0AA9">
      <w:pPr>
        <w:spacing w:after="0" w:line="240" w:lineRule="auto"/>
        <w:jc w:val="both"/>
        <w:rPr>
          <w:rFonts w:ascii="Arial" w:eastAsia="Arial" w:hAnsi="Arial" w:cs="Arial"/>
          <w:sz w:val="24"/>
          <w:szCs w:val="24"/>
        </w:rPr>
      </w:pPr>
    </w:p>
    <w:sdt>
      <w:sdtPr>
        <w:tag w:val="goog_rdk_0"/>
        <w:id w:val="197210075"/>
        <w:lock w:val="contentLocked"/>
      </w:sdtPr>
      <w:sdtEndPr/>
      <w:sdtContent>
        <w:tbl>
          <w:tblPr>
            <w:tblStyle w:val="a"/>
            <w:tblW w:w="882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4395"/>
            <w:gridCol w:w="4425"/>
          </w:tblGrid>
          <w:tr w:rsidR="005E0AA9">
            <w:tc>
              <w:tcPr>
                <w:tcW w:w="4395" w:type="dxa"/>
                <w:shd w:val="clear" w:color="auto" w:fill="auto"/>
                <w:tcMar>
                  <w:top w:w="100" w:type="dxa"/>
                  <w:left w:w="100" w:type="dxa"/>
                  <w:bottom w:w="100" w:type="dxa"/>
                  <w:right w:w="100" w:type="dxa"/>
                </w:tcMar>
              </w:tcPr>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b/>
                    <w:sz w:val="24"/>
                    <w:szCs w:val="24"/>
                  </w:rPr>
                  <w:t xml:space="preserve">ARMANDO GUTIÉRREZ GONZÁLEZ </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Partido Liberal Colombiano</w:t>
                </w:r>
              </w:p>
            </w:tc>
            <w:tc>
              <w:tcPr>
                <w:tcW w:w="4425" w:type="dxa"/>
                <w:shd w:val="clear" w:color="auto" w:fill="auto"/>
                <w:tcMar>
                  <w:top w:w="100" w:type="dxa"/>
                  <w:left w:w="100" w:type="dxa"/>
                  <w:bottom w:w="100" w:type="dxa"/>
                  <w:right w:w="100" w:type="dxa"/>
                </w:tcMar>
              </w:tcPr>
              <w:p w:rsidR="005E0AA9" w:rsidRDefault="0000586B">
                <w:pPr>
                  <w:widowControl w:val="0"/>
                  <w:spacing w:after="0" w:line="240" w:lineRule="auto"/>
                  <w:rPr>
                    <w:rFonts w:ascii="Arial" w:eastAsia="Arial" w:hAnsi="Arial" w:cs="Arial"/>
                    <w:b/>
                    <w:sz w:val="24"/>
                    <w:szCs w:val="24"/>
                  </w:rPr>
                </w:pPr>
                <w:r>
                  <w:rPr>
                    <w:rFonts w:ascii="Arial" w:eastAsia="Arial" w:hAnsi="Arial" w:cs="Arial"/>
                    <w:b/>
                    <w:sz w:val="24"/>
                    <w:szCs w:val="24"/>
                  </w:rPr>
                  <w:t>SAMIR JOSÉ ABISAMBRA VESGA</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Partido Liberal Colombiano</w:t>
                </w:r>
              </w:p>
            </w:tc>
          </w:tr>
          <w:tr w:rsidR="005E0AA9">
            <w:tc>
              <w:tcPr>
                <w:tcW w:w="4395" w:type="dxa"/>
                <w:shd w:val="clear" w:color="auto" w:fill="auto"/>
                <w:tcMar>
                  <w:top w:w="100" w:type="dxa"/>
                  <w:left w:w="100" w:type="dxa"/>
                  <w:bottom w:w="100" w:type="dxa"/>
                  <w:right w:w="100" w:type="dxa"/>
                </w:tcMar>
              </w:tcPr>
              <w:p w:rsidR="005E0AA9" w:rsidRDefault="005E0AA9">
                <w:pPr>
                  <w:widowControl w:val="0"/>
                  <w:spacing w:after="0" w:line="240" w:lineRule="auto"/>
                  <w:rPr>
                    <w:rFonts w:ascii="Arial" w:eastAsia="Arial" w:hAnsi="Arial" w:cs="Arial"/>
                    <w:sz w:val="24"/>
                    <w:szCs w:val="24"/>
                  </w:rPr>
                </w:pPr>
              </w:p>
              <w:p w:rsidR="005E0AA9" w:rsidRDefault="005E0AA9">
                <w:pPr>
                  <w:widowControl w:val="0"/>
                  <w:spacing w:after="0" w:line="240" w:lineRule="auto"/>
                  <w:rPr>
                    <w:rFonts w:ascii="Arial" w:eastAsia="Arial" w:hAnsi="Arial" w:cs="Arial"/>
                    <w:sz w:val="24"/>
                    <w:szCs w:val="24"/>
                  </w:rPr>
                </w:pPr>
              </w:p>
              <w:p w:rsidR="005E0AA9" w:rsidRDefault="005E0AA9">
                <w:pPr>
                  <w:widowControl w:val="0"/>
                  <w:spacing w:after="0" w:line="240" w:lineRule="auto"/>
                  <w:rPr>
                    <w:rFonts w:ascii="Arial" w:eastAsia="Arial" w:hAnsi="Arial" w:cs="Arial"/>
                    <w:sz w:val="24"/>
                    <w:szCs w:val="24"/>
                  </w:rPr>
                </w:pPr>
              </w:p>
            </w:tc>
            <w:tc>
              <w:tcPr>
                <w:tcW w:w="4425" w:type="dxa"/>
                <w:shd w:val="clear" w:color="auto" w:fill="auto"/>
                <w:tcMar>
                  <w:top w:w="100" w:type="dxa"/>
                  <w:left w:w="100" w:type="dxa"/>
                  <w:bottom w:w="100" w:type="dxa"/>
                  <w:right w:w="100" w:type="dxa"/>
                </w:tcMar>
              </w:tcPr>
              <w:p w:rsidR="005E0AA9" w:rsidRDefault="005E0AA9">
                <w:pPr>
                  <w:widowControl w:val="0"/>
                  <w:spacing w:after="0" w:line="240" w:lineRule="auto"/>
                  <w:rPr>
                    <w:rFonts w:ascii="Arial" w:eastAsia="Arial" w:hAnsi="Arial" w:cs="Arial"/>
                    <w:sz w:val="24"/>
                    <w:szCs w:val="24"/>
                  </w:rPr>
                </w:pPr>
              </w:p>
            </w:tc>
          </w:tr>
          <w:tr w:rsidR="005E0AA9">
            <w:tc>
              <w:tcPr>
                <w:tcW w:w="4395" w:type="dxa"/>
                <w:shd w:val="clear" w:color="auto" w:fill="auto"/>
                <w:tcMar>
                  <w:top w:w="100" w:type="dxa"/>
                  <w:left w:w="100" w:type="dxa"/>
                  <w:bottom w:w="100" w:type="dxa"/>
                  <w:right w:w="100" w:type="dxa"/>
                </w:tcMar>
              </w:tcPr>
              <w:p w:rsidR="005E0AA9" w:rsidRDefault="0000586B">
                <w:pPr>
                  <w:widowControl w:val="0"/>
                  <w:spacing w:after="0" w:line="240" w:lineRule="auto"/>
                  <w:rPr>
                    <w:rFonts w:ascii="Arial" w:eastAsia="Arial" w:hAnsi="Arial" w:cs="Arial"/>
                    <w:b/>
                    <w:sz w:val="24"/>
                    <w:szCs w:val="24"/>
                  </w:rPr>
                </w:pPr>
                <w:r>
                  <w:rPr>
                    <w:rFonts w:ascii="Arial" w:eastAsia="Arial" w:hAnsi="Arial" w:cs="Arial"/>
                    <w:b/>
                    <w:sz w:val="24"/>
                    <w:szCs w:val="24"/>
                  </w:rPr>
                  <w:t>DARÍO FERNANDO CEPEDA PEÑA</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sz w:val="24"/>
                    <w:szCs w:val="24"/>
                  </w:rPr>
                  <w:t>Partido Liberal Colombiano</w:t>
                </w:r>
              </w:p>
            </w:tc>
            <w:tc>
              <w:tcPr>
                <w:tcW w:w="4425" w:type="dxa"/>
                <w:shd w:val="clear" w:color="auto" w:fill="auto"/>
                <w:tcMar>
                  <w:top w:w="100" w:type="dxa"/>
                  <w:left w:w="100" w:type="dxa"/>
                  <w:bottom w:w="100" w:type="dxa"/>
                  <w:right w:w="100" w:type="dxa"/>
                </w:tcMar>
              </w:tcPr>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b/>
                    <w:sz w:val="24"/>
                    <w:szCs w:val="24"/>
                  </w:rPr>
                  <w:t>GERMÁN AUGUSTO GARCÍA MAYA</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sz w:val="24"/>
                    <w:szCs w:val="24"/>
                  </w:rPr>
                  <w:t>Partido Liberal Colombiano</w:t>
                </w:r>
              </w:p>
            </w:tc>
          </w:tr>
          <w:tr w:rsidR="005E0AA9">
            <w:tc>
              <w:tcPr>
                <w:tcW w:w="4395" w:type="dxa"/>
                <w:shd w:val="clear" w:color="auto" w:fill="auto"/>
                <w:tcMar>
                  <w:top w:w="100" w:type="dxa"/>
                  <w:left w:w="100" w:type="dxa"/>
                  <w:bottom w:w="100" w:type="dxa"/>
                  <w:right w:w="100" w:type="dxa"/>
                </w:tcMar>
              </w:tcPr>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tc>
            <w:tc>
              <w:tcPr>
                <w:tcW w:w="4425" w:type="dxa"/>
                <w:shd w:val="clear" w:color="auto" w:fill="auto"/>
                <w:tcMar>
                  <w:top w:w="100" w:type="dxa"/>
                  <w:left w:w="100" w:type="dxa"/>
                  <w:bottom w:w="100" w:type="dxa"/>
                  <w:right w:w="100" w:type="dxa"/>
                </w:tcMar>
              </w:tcPr>
              <w:p w:rsidR="005E0AA9" w:rsidRDefault="005E0AA9">
                <w:pPr>
                  <w:widowControl w:val="0"/>
                  <w:spacing w:after="0" w:line="240" w:lineRule="auto"/>
                  <w:rPr>
                    <w:rFonts w:ascii="Arial" w:eastAsia="Arial" w:hAnsi="Arial" w:cs="Arial"/>
                    <w:b/>
                    <w:sz w:val="24"/>
                    <w:szCs w:val="24"/>
                  </w:rPr>
                </w:pPr>
              </w:p>
            </w:tc>
          </w:tr>
          <w:tr w:rsidR="005E0AA9">
            <w:tc>
              <w:tcPr>
                <w:tcW w:w="4395" w:type="dxa"/>
                <w:shd w:val="clear" w:color="auto" w:fill="auto"/>
                <w:tcMar>
                  <w:top w:w="100" w:type="dxa"/>
                  <w:left w:w="100" w:type="dxa"/>
                  <w:bottom w:w="100" w:type="dxa"/>
                  <w:right w:w="100" w:type="dxa"/>
                </w:tcMar>
              </w:tcPr>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b/>
                    <w:sz w:val="24"/>
                    <w:szCs w:val="24"/>
                  </w:rPr>
                  <w:t>MARÍA VICTORIA VARGAS SILVA</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Partido Liberal Colombiano</w:t>
                </w:r>
              </w:p>
              <w:p w:rsidR="005E0AA9" w:rsidRDefault="005E0AA9">
                <w:pPr>
                  <w:widowControl w:val="0"/>
                  <w:spacing w:after="0" w:line="240" w:lineRule="auto"/>
                  <w:jc w:val="both"/>
                  <w:rPr>
                    <w:rFonts w:ascii="Arial" w:eastAsia="Arial" w:hAnsi="Arial" w:cs="Arial"/>
                    <w:sz w:val="24"/>
                    <w:szCs w:val="24"/>
                  </w:rPr>
                </w:pPr>
              </w:p>
              <w:p w:rsidR="005E0AA9" w:rsidRDefault="005E0AA9">
                <w:pPr>
                  <w:widowControl w:val="0"/>
                  <w:spacing w:after="0" w:line="240" w:lineRule="auto"/>
                  <w:jc w:val="both"/>
                  <w:rPr>
                    <w:rFonts w:ascii="Arial" w:eastAsia="Arial" w:hAnsi="Arial" w:cs="Arial"/>
                    <w:sz w:val="24"/>
                    <w:szCs w:val="24"/>
                  </w:rPr>
                </w:pPr>
              </w:p>
              <w:p w:rsidR="005E0AA9" w:rsidRDefault="005E0AA9">
                <w:pPr>
                  <w:widowControl w:val="0"/>
                  <w:spacing w:after="0" w:line="240" w:lineRule="auto"/>
                  <w:jc w:val="both"/>
                  <w:rPr>
                    <w:rFonts w:ascii="Arial" w:eastAsia="Arial" w:hAnsi="Arial" w:cs="Arial"/>
                    <w:sz w:val="24"/>
                    <w:szCs w:val="24"/>
                  </w:rPr>
                </w:pPr>
              </w:p>
              <w:p w:rsidR="005E0AA9" w:rsidRDefault="005E0AA9">
                <w:pPr>
                  <w:widowControl w:val="0"/>
                  <w:spacing w:after="0" w:line="240" w:lineRule="auto"/>
                  <w:jc w:val="both"/>
                  <w:rPr>
                    <w:rFonts w:ascii="Arial" w:eastAsia="Arial" w:hAnsi="Arial" w:cs="Arial"/>
                    <w:sz w:val="24"/>
                    <w:szCs w:val="24"/>
                  </w:rPr>
                </w:pPr>
              </w:p>
              <w:p w:rsidR="005E0AA9" w:rsidRDefault="0000586B">
                <w:pPr>
                  <w:widowControl w:val="0"/>
                  <w:spacing w:after="0" w:line="240" w:lineRule="auto"/>
                  <w:rPr>
                    <w:rFonts w:ascii="Arial" w:eastAsia="Arial" w:hAnsi="Arial" w:cs="Arial"/>
                    <w:b/>
                    <w:sz w:val="24"/>
                    <w:szCs w:val="24"/>
                  </w:rPr>
                </w:pPr>
                <w:r>
                  <w:rPr>
                    <w:rFonts w:ascii="Arial" w:eastAsia="Arial" w:hAnsi="Arial" w:cs="Arial"/>
                    <w:b/>
                    <w:sz w:val="24"/>
                    <w:szCs w:val="24"/>
                  </w:rPr>
                  <w:t>ANDRÉS GARCÍA VARGAS</w:t>
                </w:r>
              </w:p>
              <w:p w:rsidR="005E0AA9" w:rsidRDefault="0000586B">
                <w:pPr>
                  <w:widowControl w:val="0"/>
                  <w:spacing w:after="0" w:line="240" w:lineRule="auto"/>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rPr>
                    <w:rFonts w:ascii="Arial" w:eastAsia="Arial" w:hAnsi="Arial" w:cs="Arial"/>
                    <w:sz w:val="24"/>
                    <w:szCs w:val="24"/>
                  </w:rPr>
                </w:pPr>
                <w:r>
                  <w:rPr>
                    <w:rFonts w:ascii="Arial" w:eastAsia="Arial" w:hAnsi="Arial" w:cs="Arial"/>
                    <w:sz w:val="24"/>
                    <w:szCs w:val="24"/>
                  </w:rPr>
                  <w:t>Partido Alianza Verde</w:t>
                </w:r>
              </w:p>
            </w:tc>
            <w:tc>
              <w:tcPr>
                <w:tcW w:w="4425" w:type="dxa"/>
                <w:shd w:val="clear" w:color="auto" w:fill="auto"/>
                <w:tcMar>
                  <w:top w:w="100" w:type="dxa"/>
                  <w:left w:w="100" w:type="dxa"/>
                  <w:bottom w:w="100" w:type="dxa"/>
                  <w:right w:w="100" w:type="dxa"/>
                </w:tcMar>
              </w:tcPr>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b/>
                    <w:sz w:val="24"/>
                    <w:szCs w:val="24"/>
                  </w:rPr>
                  <w:t>CLARA LUCÍA SANDOVAL MORENO</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sz w:val="24"/>
                    <w:szCs w:val="24"/>
                  </w:rPr>
                  <w:t>Partido Liberal Colombiano</w:t>
                </w:r>
              </w:p>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p w:rsidR="005E0AA9" w:rsidRDefault="0000586B">
                <w:pPr>
                  <w:widowControl w:val="0"/>
                  <w:spacing w:after="0" w:line="240" w:lineRule="auto"/>
                  <w:rPr>
                    <w:rFonts w:ascii="Arial" w:eastAsia="Arial" w:hAnsi="Arial" w:cs="Arial"/>
                    <w:b/>
                    <w:sz w:val="24"/>
                    <w:szCs w:val="24"/>
                  </w:rPr>
                </w:pPr>
                <w:r>
                  <w:rPr>
                    <w:rFonts w:ascii="Arial" w:eastAsia="Arial" w:hAnsi="Arial" w:cs="Arial"/>
                    <w:b/>
                    <w:sz w:val="24"/>
                    <w:szCs w:val="24"/>
                  </w:rPr>
                  <w:t>MARÍA CLARA NAME RAMÍREZ</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sz w:val="24"/>
                    <w:szCs w:val="24"/>
                  </w:rPr>
                  <w:t>Partido Alianza Verde</w:t>
                </w:r>
              </w:p>
            </w:tc>
          </w:tr>
          <w:tr w:rsidR="005E0AA9">
            <w:tc>
              <w:tcPr>
                <w:tcW w:w="4395" w:type="dxa"/>
                <w:shd w:val="clear" w:color="auto" w:fill="auto"/>
                <w:tcMar>
                  <w:top w:w="100" w:type="dxa"/>
                  <w:left w:w="100" w:type="dxa"/>
                  <w:bottom w:w="100" w:type="dxa"/>
                  <w:right w:w="100" w:type="dxa"/>
                </w:tcMar>
              </w:tcPr>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p w:rsidR="005E0AA9" w:rsidRDefault="0000586B">
                <w:pPr>
                  <w:widowControl w:val="0"/>
                  <w:spacing w:after="0" w:line="240" w:lineRule="auto"/>
                  <w:rPr>
                    <w:rFonts w:ascii="Arial" w:eastAsia="Arial" w:hAnsi="Arial" w:cs="Arial"/>
                    <w:b/>
                    <w:sz w:val="24"/>
                    <w:szCs w:val="24"/>
                  </w:rPr>
                </w:pPr>
                <w:r>
                  <w:rPr>
                    <w:rFonts w:ascii="Arial" w:eastAsia="Arial" w:hAnsi="Arial" w:cs="Arial"/>
                    <w:b/>
                    <w:sz w:val="24"/>
                    <w:szCs w:val="24"/>
                  </w:rPr>
                  <w:t>ANDRÉS DARÍO ONZAGA</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sz w:val="24"/>
                    <w:szCs w:val="24"/>
                  </w:rPr>
                  <w:t>Partido Alianza Verde</w:t>
                </w:r>
              </w:p>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tc>
            <w:tc>
              <w:tcPr>
                <w:tcW w:w="4425" w:type="dxa"/>
                <w:shd w:val="clear" w:color="auto" w:fill="auto"/>
                <w:tcMar>
                  <w:top w:w="100" w:type="dxa"/>
                  <w:left w:w="100" w:type="dxa"/>
                  <w:bottom w:w="100" w:type="dxa"/>
                  <w:right w:w="100" w:type="dxa"/>
                </w:tcMar>
              </w:tcPr>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p w:rsidR="005E0AA9" w:rsidRDefault="0000586B">
                <w:pPr>
                  <w:widowControl w:val="0"/>
                  <w:spacing w:after="0" w:line="240" w:lineRule="auto"/>
                  <w:rPr>
                    <w:rFonts w:ascii="Arial" w:eastAsia="Arial" w:hAnsi="Arial" w:cs="Arial"/>
                    <w:sz w:val="24"/>
                    <w:szCs w:val="24"/>
                  </w:rPr>
                </w:pPr>
                <w:r>
                  <w:rPr>
                    <w:rFonts w:ascii="Arial" w:eastAsia="Arial" w:hAnsi="Arial" w:cs="Arial"/>
                    <w:b/>
                    <w:sz w:val="24"/>
                    <w:szCs w:val="24"/>
                  </w:rPr>
                  <w:t>ROCÍO DUSSÁN PÉREZ</w:t>
                </w:r>
                <w:r>
                  <w:rPr>
                    <w:rFonts w:ascii="Arial" w:eastAsia="Arial" w:hAnsi="Arial" w:cs="Arial"/>
                    <w:b/>
                    <w:sz w:val="24"/>
                    <w:szCs w:val="24"/>
                  </w:rPr>
                  <w:br/>
                </w:r>
                <w:r>
                  <w:rPr>
                    <w:rFonts w:ascii="Arial" w:eastAsia="Arial" w:hAnsi="Arial" w:cs="Arial"/>
                    <w:sz w:val="24"/>
                    <w:szCs w:val="24"/>
                  </w:rPr>
                  <w:t>Concejal de Bogotá D.C.</w:t>
                </w:r>
                <w:r>
                  <w:rPr>
                    <w:rFonts w:ascii="Arial" w:eastAsia="Arial" w:hAnsi="Arial" w:cs="Arial"/>
                    <w:sz w:val="24"/>
                    <w:szCs w:val="24"/>
                  </w:rPr>
                  <w:br/>
                  <w:t>Partido Polo Democrático</w:t>
                </w:r>
              </w:p>
            </w:tc>
          </w:tr>
          <w:tr w:rsidR="005E0AA9">
            <w:tc>
              <w:tcPr>
                <w:tcW w:w="4395" w:type="dxa"/>
                <w:shd w:val="clear" w:color="auto" w:fill="auto"/>
                <w:tcMar>
                  <w:top w:w="100" w:type="dxa"/>
                  <w:left w:w="100" w:type="dxa"/>
                  <w:bottom w:w="100" w:type="dxa"/>
                  <w:right w:w="100" w:type="dxa"/>
                </w:tcMar>
              </w:tcPr>
              <w:p w:rsidR="005E0AA9" w:rsidRDefault="0000586B">
                <w:pPr>
                  <w:widowControl w:val="0"/>
                  <w:spacing w:after="0" w:line="240" w:lineRule="auto"/>
                  <w:rPr>
                    <w:rFonts w:ascii="Arial" w:eastAsia="Arial" w:hAnsi="Arial" w:cs="Arial"/>
                    <w:b/>
                    <w:sz w:val="24"/>
                    <w:szCs w:val="24"/>
                  </w:rPr>
                </w:pPr>
                <w:r>
                  <w:rPr>
                    <w:rFonts w:ascii="Arial" w:eastAsia="Arial" w:hAnsi="Arial" w:cs="Arial"/>
                    <w:b/>
                    <w:sz w:val="24"/>
                    <w:szCs w:val="24"/>
                  </w:rPr>
                  <w:t>FABIÁN PUENTES SIERRA</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sz w:val="24"/>
                    <w:szCs w:val="24"/>
                  </w:rPr>
                  <w:t>Partido Político MIRA</w:t>
                </w:r>
              </w:p>
            </w:tc>
            <w:tc>
              <w:tcPr>
                <w:tcW w:w="4425" w:type="dxa"/>
                <w:shd w:val="clear" w:color="auto" w:fill="auto"/>
                <w:tcMar>
                  <w:top w:w="100" w:type="dxa"/>
                  <w:left w:w="100" w:type="dxa"/>
                  <w:bottom w:w="100" w:type="dxa"/>
                  <w:right w:w="100" w:type="dxa"/>
                </w:tcMar>
              </w:tcPr>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b/>
                    <w:sz w:val="24"/>
                    <w:szCs w:val="24"/>
                  </w:rPr>
                  <w:t>SAMIR BEDOYA PIRAQUIVE</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sz w:val="24"/>
                    <w:szCs w:val="24"/>
                  </w:rPr>
                  <w:t>Partido Político MIRA</w:t>
                </w:r>
              </w:p>
            </w:tc>
          </w:tr>
          <w:tr w:rsidR="005E0AA9">
            <w:tc>
              <w:tcPr>
                <w:tcW w:w="4395" w:type="dxa"/>
                <w:shd w:val="clear" w:color="auto" w:fill="auto"/>
                <w:tcMar>
                  <w:top w:w="100" w:type="dxa"/>
                  <w:left w:w="100" w:type="dxa"/>
                  <w:bottom w:w="100" w:type="dxa"/>
                  <w:right w:w="100" w:type="dxa"/>
                </w:tcMar>
              </w:tcPr>
              <w:p w:rsidR="005E0AA9" w:rsidRDefault="005E0AA9">
                <w:pPr>
                  <w:widowControl w:val="0"/>
                  <w:spacing w:after="0" w:line="240" w:lineRule="auto"/>
                  <w:rPr>
                    <w:rFonts w:ascii="Arial" w:eastAsia="Arial" w:hAnsi="Arial" w:cs="Arial"/>
                    <w:sz w:val="24"/>
                    <w:szCs w:val="24"/>
                  </w:rPr>
                </w:pPr>
              </w:p>
            </w:tc>
            <w:tc>
              <w:tcPr>
                <w:tcW w:w="4425" w:type="dxa"/>
                <w:shd w:val="clear" w:color="auto" w:fill="auto"/>
                <w:tcMar>
                  <w:top w:w="100" w:type="dxa"/>
                  <w:left w:w="100" w:type="dxa"/>
                  <w:bottom w:w="100" w:type="dxa"/>
                  <w:right w:w="100" w:type="dxa"/>
                </w:tcMar>
              </w:tcPr>
              <w:p w:rsidR="005E0AA9" w:rsidRDefault="005E0AA9">
                <w:pPr>
                  <w:widowControl w:val="0"/>
                  <w:spacing w:after="0" w:line="240" w:lineRule="auto"/>
                  <w:rPr>
                    <w:rFonts w:ascii="Arial" w:eastAsia="Arial" w:hAnsi="Arial" w:cs="Arial"/>
                    <w:sz w:val="24"/>
                    <w:szCs w:val="24"/>
                  </w:rPr>
                </w:pPr>
              </w:p>
            </w:tc>
          </w:tr>
          <w:tr w:rsidR="005E0AA9">
            <w:tc>
              <w:tcPr>
                <w:tcW w:w="4395" w:type="dxa"/>
                <w:shd w:val="clear" w:color="auto" w:fill="auto"/>
                <w:tcMar>
                  <w:top w:w="100" w:type="dxa"/>
                  <w:left w:w="100" w:type="dxa"/>
                  <w:bottom w:w="100" w:type="dxa"/>
                  <w:right w:w="100" w:type="dxa"/>
                </w:tcMar>
              </w:tcPr>
              <w:p w:rsidR="005E0AA9" w:rsidRDefault="005E0AA9">
                <w:pPr>
                  <w:widowControl w:val="0"/>
                  <w:spacing w:after="0" w:line="240" w:lineRule="auto"/>
                  <w:rPr>
                    <w:rFonts w:ascii="Arial" w:eastAsia="Arial" w:hAnsi="Arial" w:cs="Arial"/>
                    <w:sz w:val="24"/>
                    <w:szCs w:val="24"/>
                  </w:rPr>
                </w:pPr>
              </w:p>
            </w:tc>
            <w:tc>
              <w:tcPr>
                <w:tcW w:w="4425" w:type="dxa"/>
                <w:shd w:val="clear" w:color="auto" w:fill="auto"/>
                <w:tcMar>
                  <w:top w:w="100" w:type="dxa"/>
                  <w:left w:w="100" w:type="dxa"/>
                  <w:bottom w:w="100" w:type="dxa"/>
                  <w:right w:w="100" w:type="dxa"/>
                </w:tcMar>
              </w:tcPr>
              <w:p w:rsidR="005E0AA9" w:rsidRDefault="005E0AA9">
                <w:pPr>
                  <w:widowControl w:val="0"/>
                  <w:spacing w:after="0" w:line="240" w:lineRule="auto"/>
                  <w:rPr>
                    <w:rFonts w:ascii="Arial" w:eastAsia="Arial" w:hAnsi="Arial" w:cs="Arial"/>
                    <w:sz w:val="24"/>
                    <w:szCs w:val="24"/>
                  </w:rPr>
                </w:pPr>
              </w:p>
            </w:tc>
          </w:tr>
          <w:tr w:rsidR="005E0AA9">
            <w:tc>
              <w:tcPr>
                <w:tcW w:w="4395" w:type="dxa"/>
                <w:shd w:val="clear" w:color="auto" w:fill="auto"/>
                <w:tcMar>
                  <w:top w:w="100" w:type="dxa"/>
                  <w:left w:w="100" w:type="dxa"/>
                  <w:bottom w:w="100" w:type="dxa"/>
                  <w:right w:w="100" w:type="dxa"/>
                </w:tcMar>
              </w:tcPr>
              <w:p w:rsidR="005E0AA9" w:rsidRDefault="0000586B">
                <w:pPr>
                  <w:widowControl w:val="0"/>
                  <w:spacing w:after="0" w:line="240" w:lineRule="auto"/>
                  <w:rPr>
                    <w:rFonts w:ascii="Arial" w:eastAsia="Arial" w:hAnsi="Arial" w:cs="Arial"/>
                    <w:b/>
                    <w:sz w:val="24"/>
                    <w:szCs w:val="24"/>
                  </w:rPr>
                </w:pPr>
                <w:r>
                  <w:rPr>
                    <w:rFonts w:ascii="Arial" w:eastAsia="Arial" w:hAnsi="Arial" w:cs="Arial"/>
                    <w:b/>
                    <w:sz w:val="24"/>
                    <w:szCs w:val="24"/>
                  </w:rPr>
                  <w:t>HUMBERTO RAFAEL AMÍN</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sz w:val="24"/>
                    <w:szCs w:val="24"/>
                  </w:rPr>
                  <w:t>Partido Centro Democrático</w:t>
                </w:r>
              </w:p>
            </w:tc>
            <w:tc>
              <w:tcPr>
                <w:tcW w:w="4425" w:type="dxa"/>
                <w:shd w:val="clear" w:color="auto" w:fill="auto"/>
                <w:tcMar>
                  <w:top w:w="100" w:type="dxa"/>
                  <w:left w:w="100" w:type="dxa"/>
                  <w:bottom w:w="100" w:type="dxa"/>
                  <w:right w:w="100" w:type="dxa"/>
                </w:tcMar>
              </w:tcPr>
              <w:p w:rsidR="005E0AA9" w:rsidRDefault="0000586B">
                <w:pPr>
                  <w:widowControl w:val="0"/>
                  <w:spacing w:after="0" w:line="240" w:lineRule="auto"/>
                  <w:rPr>
                    <w:rFonts w:ascii="Arial" w:eastAsia="Arial" w:hAnsi="Arial" w:cs="Arial"/>
                    <w:b/>
                    <w:sz w:val="24"/>
                    <w:szCs w:val="24"/>
                  </w:rPr>
                </w:pPr>
                <w:r>
                  <w:rPr>
                    <w:rFonts w:ascii="Arial" w:eastAsia="Arial" w:hAnsi="Arial" w:cs="Arial"/>
                    <w:b/>
                    <w:sz w:val="24"/>
                    <w:szCs w:val="24"/>
                  </w:rPr>
                  <w:t>EMEL ROJAS CASTILLO</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sz w:val="24"/>
                    <w:szCs w:val="24"/>
                  </w:rPr>
                  <w:t>Partido Nueva Fuerza Democrática</w:t>
                </w:r>
              </w:p>
            </w:tc>
          </w:tr>
          <w:tr w:rsidR="005E0AA9">
            <w:tc>
              <w:tcPr>
                <w:tcW w:w="4395" w:type="dxa"/>
                <w:shd w:val="clear" w:color="auto" w:fill="auto"/>
                <w:tcMar>
                  <w:top w:w="100" w:type="dxa"/>
                  <w:left w:w="100" w:type="dxa"/>
                  <w:bottom w:w="100" w:type="dxa"/>
                  <w:right w:w="100" w:type="dxa"/>
                </w:tcMar>
              </w:tcPr>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tc>
            <w:tc>
              <w:tcPr>
                <w:tcW w:w="4425" w:type="dxa"/>
                <w:shd w:val="clear" w:color="auto" w:fill="auto"/>
                <w:tcMar>
                  <w:top w:w="100" w:type="dxa"/>
                  <w:left w:w="100" w:type="dxa"/>
                  <w:bottom w:w="100" w:type="dxa"/>
                  <w:right w:w="100" w:type="dxa"/>
                </w:tcMar>
              </w:tcPr>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p w:rsidR="005E0AA9" w:rsidRDefault="00431F0A">
                <w:pPr>
                  <w:widowControl w:val="0"/>
                  <w:spacing w:after="0" w:line="240" w:lineRule="auto"/>
                  <w:rPr>
                    <w:rFonts w:ascii="Arial" w:eastAsia="Arial" w:hAnsi="Arial" w:cs="Arial"/>
                    <w:b/>
                    <w:sz w:val="24"/>
                    <w:szCs w:val="24"/>
                  </w:rPr>
                </w:pPr>
              </w:p>
            </w:tc>
          </w:tr>
        </w:tbl>
      </w:sdtContent>
    </w:sdt>
    <w:p w:rsidR="005E0AA9" w:rsidRDefault="005E0AA9">
      <w:pPr>
        <w:spacing w:after="0" w:line="240" w:lineRule="auto"/>
        <w:rPr>
          <w:rFonts w:ascii="Arial" w:eastAsia="Arial" w:hAnsi="Arial" w:cs="Arial"/>
          <w:sz w:val="24"/>
          <w:szCs w:val="24"/>
        </w:rPr>
      </w:pPr>
    </w:p>
    <w:p w:rsidR="005E0AA9" w:rsidRDefault="0000586B">
      <w:pPr>
        <w:spacing w:after="0" w:line="240" w:lineRule="auto"/>
        <w:jc w:val="center"/>
        <w:rPr>
          <w:rFonts w:ascii="Arial" w:eastAsia="Arial" w:hAnsi="Arial" w:cs="Arial"/>
          <w:b/>
          <w:sz w:val="24"/>
          <w:szCs w:val="24"/>
          <w:highlight w:val="white"/>
        </w:rPr>
      </w:pPr>
      <w:r>
        <w:rPr>
          <w:rFonts w:ascii="Arial" w:eastAsia="Arial" w:hAnsi="Arial" w:cs="Arial"/>
          <w:b/>
          <w:sz w:val="24"/>
          <w:szCs w:val="24"/>
          <w:highlight w:val="white"/>
        </w:rPr>
        <w:t>Proyecto de Acuerdo No.</w:t>
      </w:r>
      <w:r w:rsidR="00D369F9">
        <w:rPr>
          <w:rFonts w:ascii="Arial" w:eastAsia="Arial" w:hAnsi="Arial" w:cs="Arial"/>
          <w:b/>
          <w:sz w:val="24"/>
          <w:szCs w:val="24"/>
          <w:highlight w:val="white"/>
        </w:rPr>
        <w:t xml:space="preserve"> </w:t>
      </w:r>
      <w:r w:rsidR="00431F0A">
        <w:rPr>
          <w:rFonts w:ascii="Arial" w:eastAsia="Arial" w:hAnsi="Arial" w:cs="Arial"/>
          <w:b/>
          <w:sz w:val="24"/>
          <w:szCs w:val="24"/>
          <w:highlight w:val="white"/>
        </w:rPr>
        <w:t>8</w:t>
      </w:r>
      <w:bookmarkStart w:id="0" w:name="_GoBack"/>
      <w:bookmarkEnd w:id="0"/>
      <w:r w:rsidR="006C7229">
        <w:rPr>
          <w:rFonts w:ascii="Arial" w:eastAsia="Arial" w:hAnsi="Arial" w:cs="Arial"/>
          <w:b/>
          <w:sz w:val="24"/>
          <w:szCs w:val="24"/>
          <w:highlight w:val="white"/>
        </w:rPr>
        <w:t>57</w:t>
      </w:r>
      <w:r>
        <w:rPr>
          <w:rFonts w:ascii="Arial" w:eastAsia="Arial" w:hAnsi="Arial" w:cs="Arial"/>
          <w:b/>
          <w:sz w:val="24"/>
          <w:szCs w:val="24"/>
          <w:highlight w:val="white"/>
        </w:rPr>
        <w:t xml:space="preserve"> de 2025</w:t>
      </w:r>
    </w:p>
    <w:p w:rsidR="005E0AA9" w:rsidRDefault="005E0AA9">
      <w:pPr>
        <w:spacing w:after="0" w:line="240" w:lineRule="auto"/>
        <w:jc w:val="center"/>
        <w:rPr>
          <w:rFonts w:ascii="Arial" w:eastAsia="Arial" w:hAnsi="Arial" w:cs="Arial"/>
          <w:b/>
          <w:sz w:val="24"/>
          <w:szCs w:val="24"/>
          <w:highlight w:val="white"/>
        </w:rPr>
      </w:pPr>
    </w:p>
    <w:p w:rsidR="005E0AA9" w:rsidRDefault="0000586B">
      <w:pPr>
        <w:spacing w:after="0" w:line="240" w:lineRule="auto"/>
        <w:jc w:val="center"/>
        <w:rPr>
          <w:rFonts w:ascii="Arial" w:eastAsia="Arial" w:hAnsi="Arial" w:cs="Arial"/>
          <w:b/>
          <w:sz w:val="24"/>
          <w:szCs w:val="24"/>
          <w:highlight w:val="white"/>
        </w:rPr>
      </w:pPr>
      <w:r>
        <w:rPr>
          <w:rFonts w:ascii="Arial" w:eastAsia="Arial" w:hAnsi="Arial" w:cs="Arial"/>
          <w:b/>
          <w:sz w:val="24"/>
          <w:szCs w:val="24"/>
          <w:highlight w:val="white"/>
        </w:rPr>
        <w:t>“Por medio del cual se establecen lineamientos para la Prevención del Reclutamiento, Utilización, Uso, Violencia y Explotación Sexual en contra de Niños, Niñas, Adolescentes y Jóvenes (NNAJ) por parte de Grupos Armados Organizados (GAO) y Grupos Delictivos Organizados (GDO) en el Distrito Capital”</w:t>
      </w:r>
    </w:p>
    <w:p w:rsidR="005E0AA9" w:rsidRDefault="005E0AA9">
      <w:pPr>
        <w:spacing w:line="240" w:lineRule="auto"/>
        <w:jc w:val="both"/>
        <w:rPr>
          <w:rFonts w:ascii="Arial" w:eastAsia="Arial" w:hAnsi="Arial" w:cs="Arial"/>
          <w:sz w:val="24"/>
          <w:szCs w:val="24"/>
        </w:rPr>
      </w:pPr>
    </w:p>
    <w:p w:rsidR="005E0AA9" w:rsidRDefault="0000586B">
      <w:pPr>
        <w:numPr>
          <w:ilvl w:val="0"/>
          <w:numId w:val="4"/>
        </w:numPr>
        <w:pBdr>
          <w:top w:val="nil"/>
          <w:left w:val="nil"/>
          <w:bottom w:val="nil"/>
          <w:right w:val="nil"/>
          <w:between w:val="nil"/>
        </w:pBdr>
        <w:spacing w:line="240" w:lineRule="auto"/>
        <w:jc w:val="both"/>
        <w:rPr>
          <w:rFonts w:ascii="Arial" w:eastAsia="Arial" w:hAnsi="Arial" w:cs="Arial"/>
          <w:color w:val="000000"/>
          <w:sz w:val="24"/>
          <w:szCs w:val="24"/>
          <w:highlight w:val="white"/>
        </w:rPr>
      </w:pPr>
      <w:r>
        <w:rPr>
          <w:rFonts w:ascii="Arial" w:eastAsia="Arial" w:hAnsi="Arial" w:cs="Arial"/>
          <w:b/>
          <w:color w:val="000000"/>
          <w:sz w:val="24"/>
          <w:szCs w:val="24"/>
          <w:highlight w:val="white"/>
        </w:rPr>
        <w:t>OBJETO</w:t>
      </w:r>
      <w:r>
        <w:rPr>
          <w:rFonts w:ascii="Arial" w:eastAsia="Arial" w:hAnsi="Arial" w:cs="Arial"/>
          <w:b/>
          <w:sz w:val="24"/>
          <w:szCs w:val="24"/>
          <w:highlight w:val="white"/>
        </w:rPr>
        <w:t xml:space="preserve"> </w:t>
      </w:r>
      <w:r>
        <w:rPr>
          <w:rFonts w:ascii="Arial" w:eastAsia="Arial" w:hAnsi="Arial" w:cs="Arial"/>
          <w:b/>
          <w:color w:val="000000"/>
          <w:sz w:val="24"/>
          <w:szCs w:val="24"/>
          <w:highlight w:val="white"/>
        </w:rPr>
        <w:t>DE LA INICIATIVA</w:t>
      </w:r>
      <w:r>
        <w:rPr>
          <w:rFonts w:ascii="Arial" w:eastAsia="Arial" w:hAnsi="Arial" w:cs="Arial"/>
          <w:color w:val="000000"/>
          <w:sz w:val="24"/>
          <w:szCs w:val="24"/>
          <w:highlight w:val="white"/>
        </w:rPr>
        <w:t> </w:t>
      </w: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sz w:val="24"/>
          <w:szCs w:val="24"/>
          <w:highlight w:val="white"/>
        </w:rPr>
        <w:t xml:space="preserve">Establecer un marco normativo integral y articulado para la prevención del reclutamiento, utilización, uso, violencia y explotación sexual contra niños, niñas, adolescentes y jóvenes (NNAJ) por parte de grupos armados organizados y estructuras delincuenciales en el Distrito Capital, con el propósito de garantizar su protección integral, el restablecimiento de derechos vulnerados y la promoción de entornos seguros que favorezcan su desarrollo humano y social.  </w:t>
      </w:r>
    </w:p>
    <w:p w:rsidR="005E0AA9" w:rsidRDefault="005E0AA9">
      <w:pPr>
        <w:spacing w:after="0" w:line="240" w:lineRule="auto"/>
        <w:jc w:val="both"/>
        <w:rPr>
          <w:rFonts w:ascii="Arial" w:eastAsia="Arial" w:hAnsi="Arial" w:cs="Arial"/>
          <w:sz w:val="24"/>
          <w:szCs w:val="24"/>
          <w:highlight w:val="white"/>
        </w:rPr>
      </w:pPr>
    </w:p>
    <w:p w:rsidR="005E0AA9" w:rsidRDefault="0000586B">
      <w:pPr>
        <w:spacing w:after="0" w:line="240" w:lineRule="auto"/>
        <w:jc w:val="both"/>
        <w:rPr>
          <w:rFonts w:ascii="Arial" w:eastAsia="Arial" w:hAnsi="Arial" w:cs="Arial"/>
          <w:i/>
          <w:sz w:val="24"/>
          <w:szCs w:val="24"/>
          <w:highlight w:val="white"/>
        </w:rPr>
      </w:pPr>
      <w:r>
        <w:rPr>
          <w:rFonts w:ascii="Arial" w:eastAsia="Arial" w:hAnsi="Arial" w:cs="Arial"/>
          <w:sz w:val="24"/>
          <w:szCs w:val="24"/>
          <w:highlight w:val="white"/>
        </w:rPr>
        <w:t>Asimismo, se establecen mecanismos de coordinación interinstitucional y participación comunitaria para la generación de acciones efectivas que mitiguen los factores de vulnerabilidad asociados a este fenómeno, en cumplimiento de los principios constitucionales de protección integral a la niñez y adolescencia, así como de los compromisos internacionales adquiridos por el Estado colombiano en materia de derechos humanos.</w:t>
      </w:r>
    </w:p>
    <w:p w:rsidR="005E0AA9" w:rsidRDefault="005E0AA9">
      <w:pPr>
        <w:spacing w:after="0" w:line="240" w:lineRule="auto"/>
        <w:jc w:val="both"/>
        <w:rPr>
          <w:rFonts w:ascii="Arial" w:eastAsia="Arial" w:hAnsi="Arial" w:cs="Arial"/>
          <w:sz w:val="24"/>
          <w:szCs w:val="24"/>
          <w:highlight w:val="white"/>
        </w:rPr>
      </w:pPr>
    </w:p>
    <w:p w:rsidR="005E0AA9" w:rsidRDefault="0000586B">
      <w:pPr>
        <w:numPr>
          <w:ilvl w:val="0"/>
          <w:numId w:val="4"/>
        </w:numPr>
        <w:pBdr>
          <w:top w:val="nil"/>
          <w:left w:val="nil"/>
          <w:bottom w:val="nil"/>
          <w:right w:val="nil"/>
          <w:between w:val="nil"/>
        </w:pBdr>
        <w:spacing w:after="0" w:line="240" w:lineRule="auto"/>
        <w:jc w:val="both"/>
        <w:rPr>
          <w:rFonts w:ascii="Arial" w:eastAsia="Arial" w:hAnsi="Arial" w:cs="Arial"/>
          <w:b/>
          <w:color w:val="000000"/>
          <w:sz w:val="24"/>
          <w:szCs w:val="24"/>
          <w:highlight w:val="white"/>
        </w:rPr>
      </w:pPr>
      <w:r>
        <w:rPr>
          <w:rFonts w:ascii="Arial" w:eastAsia="Arial" w:hAnsi="Arial" w:cs="Arial"/>
          <w:b/>
          <w:color w:val="000000"/>
          <w:sz w:val="24"/>
          <w:szCs w:val="24"/>
          <w:highlight w:val="white"/>
        </w:rPr>
        <w:t xml:space="preserve">JUSTIFICACIÓN </w:t>
      </w:r>
    </w:p>
    <w:p w:rsidR="005E0AA9" w:rsidRDefault="005E0AA9">
      <w:pPr>
        <w:pBdr>
          <w:top w:val="nil"/>
          <w:left w:val="nil"/>
          <w:bottom w:val="nil"/>
          <w:right w:val="nil"/>
          <w:between w:val="nil"/>
        </w:pBdr>
        <w:spacing w:after="0" w:line="240" w:lineRule="auto"/>
        <w:jc w:val="both"/>
        <w:rPr>
          <w:rFonts w:ascii="Arial" w:eastAsia="Arial" w:hAnsi="Arial" w:cs="Arial"/>
          <w:b/>
          <w:sz w:val="24"/>
          <w:szCs w:val="24"/>
          <w:highlight w:val="white"/>
        </w:rPr>
      </w:pPr>
    </w:p>
    <w:p w:rsidR="005E0AA9" w:rsidRDefault="0000586B">
      <w:pPr>
        <w:pBdr>
          <w:top w:val="nil"/>
          <w:left w:val="nil"/>
          <w:bottom w:val="nil"/>
          <w:right w:val="nil"/>
          <w:between w:val="nil"/>
        </w:pBdr>
        <w:spacing w:after="0" w:line="240" w:lineRule="auto"/>
        <w:jc w:val="both"/>
        <w:rPr>
          <w:rFonts w:ascii="Arial" w:eastAsia="Arial" w:hAnsi="Arial" w:cs="Arial"/>
          <w:b/>
          <w:sz w:val="24"/>
          <w:szCs w:val="24"/>
          <w:highlight w:val="white"/>
        </w:rPr>
      </w:pPr>
      <w:r>
        <w:rPr>
          <w:rFonts w:ascii="Arial" w:eastAsia="Arial" w:hAnsi="Arial" w:cs="Arial"/>
          <w:b/>
          <w:sz w:val="24"/>
          <w:szCs w:val="24"/>
          <w:highlight w:val="white"/>
        </w:rPr>
        <w:t>2.1. CONTEXTO</w:t>
      </w:r>
    </w:p>
    <w:p w:rsidR="005E0AA9" w:rsidRDefault="005E0AA9">
      <w:pPr>
        <w:pBdr>
          <w:top w:val="nil"/>
          <w:left w:val="nil"/>
          <w:bottom w:val="nil"/>
          <w:right w:val="nil"/>
          <w:between w:val="nil"/>
        </w:pBdr>
        <w:spacing w:after="0" w:line="240" w:lineRule="auto"/>
        <w:ind w:left="720"/>
        <w:jc w:val="both"/>
        <w:rPr>
          <w:rFonts w:ascii="Arial" w:eastAsia="Arial" w:hAnsi="Arial" w:cs="Arial"/>
          <w:b/>
          <w:i/>
          <w:color w:val="000000"/>
          <w:sz w:val="24"/>
          <w:szCs w:val="24"/>
          <w:highlight w:val="white"/>
        </w:rPr>
      </w:pPr>
    </w:p>
    <w:p w:rsidR="005E0AA9" w:rsidRDefault="0000586B">
      <w:pPr>
        <w:spacing w:after="0" w:line="240" w:lineRule="auto"/>
        <w:jc w:val="both"/>
        <w:rPr>
          <w:rFonts w:ascii="Arial" w:eastAsia="Arial" w:hAnsi="Arial" w:cs="Arial"/>
          <w:sz w:val="24"/>
          <w:szCs w:val="24"/>
        </w:rPr>
      </w:pPr>
      <w:r>
        <w:rPr>
          <w:rFonts w:ascii="Arial" w:eastAsia="Arial" w:hAnsi="Arial" w:cs="Arial"/>
          <w:sz w:val="24"/>
          <w:szCs w:val="24"/>
        </w:rPr>
        <w:t>“El ingreso de los niños, niñas y adolescentes del campo y las zonas marginales colombianas a las guerrillas y los grupos paramilitares es el resultado de la manipulación perversa y engañosa por parte de los miembros de estas estructuras criminales, de diversos y complejos factores de vulnerabilidad y presión materiales y psicológicos a los que tales menores de edad están sujetos(…)”</w:t>
      </w:r>
      <w:r>
        <w:rPr>
          <w:rFonts w:ascii="Arial" w:eastAsia="Arial" w:hAnsi="Arial" w:cs="Arial"/>
          <w:sz w:val="24"/>
          <w:szCs w:val="24"/>
          <w:vertAlign w:val="superscript"/>
        </w:rPr>
        <w:footnoteReference w:id="1"/>
      </w:r>
    </w:p>
    <w:p w:rsidR="005E0AA9" w:rsidRDefault="005E0AA9">
      <w:pPr>
        <w:spacing w:after="0" w:line="240" w:lineRule="auto"/>
        <w:jc w:val="both"/>
        <w:rPr>
          <w:rFonts w:ascii="Arial" w:eastAsia="Arial" w:hAnsi="Arial" w:cs="Arial"/>
          <w:sz w:val="24"/>
          <w:szCs w:val="24"/>
        </w:rPr>
      </w:pPr>
    </w:p>
    <w:p w:rsidR="005E0AA9" w:rsidRDefault="0000586B">
      <w:pPr>
        <w:spacing w:after="0" w:line="240" w:lineRule="auto"/>
        <w:jc w:val="both"/>
        <w:rPr>
          <w:rFonts w:ascii="Arial" w:eastAsia="Arial" w:hAnsi="Arial" w:cs="Arial"/>
          <w:sz w:val="24"/>
          <w:szCs w:val="24"/>
        </w:rPr>
      </w:pPr>
      <w:r>
        <w:rPr>
          <w:rFonts w:ascii="Arial" w:eastAsia="Arial" w:hAnsi="Arial" w:cs="Arial"/>
          <w:sz w:val="24"/>
          <w:szCs w:val="24"/>
          <w:highlight w:val="white"/>
        </w:rPr>
        <w:t xml:space="preserve">Hoy en día Bogotá enfrenta un contexto de inseguridad sin precedentes, </w:t>
      </w:r>
      <w:r>
        <w:rPr>
          <w:rFonts w:ascii="Arial" w:eastAsia="Arial" w:hAnsi="Arial" w:cs="Arial"/>
          <w:sz w:val="24"/>
          <w:szCs w:val="24"/>
        </w:rPr>
        <w:t xml:space="preserve">cuyas raíces se encuentran en las profundas desigualdades sociales del país, alimentado por los efectos colaterales de la pandemia por SARS-CoV-2 y por un interminable conflicto armado que ha generado desplazamiento forzado, desmovilizaciones de insurgentes sin atención ni oportunidades, el aumento del tráfico de sustancias psicoactivas, entre otros factores, como la presencia de grupos delincuenciales transnacionales y la lucha por el control territorial.  </w:t>
      </w:r>
      <w:r>
        <w:rPr>
          <w:rFonts w:ascii="Arial" w:eastAsia="Arial" w:hAnsi="Arial" w:cs="Arial"/>
          <w:sz w:val="24"/>
          <w:szCs w:val="24"/>
        </w:rPr>
        <w:br/>
      </w:r>
    </w:p>
    <w:p w:rsidR="005E0AA9" w:rsidRDefault="0000586B">
      <w:pPr>
        <w:spacing w:after="0" w:line="240" w:lineRule="auto"/>
        <w:jc w:val="both"/>
        <w:rPr>
          <w:rFonts w:ascii="Arial" w:eastAsia="Arial" w:hAnsi="Arial" w:cs="Arial"/>
          <w:b/>
          <w:sz w:val="24"/>
          <w:szCs w:val="24"/>
        </w:rPr>
      </w:pPr>
      <w:r>
        <w:rPr>
          <w:rFonts w:ascii="Arial" w:eastAsia="Arial" w:hAnsi="Arial" w:cs="Arial"/>
          <w:b/>
          <w:sz w:val="24"/>
          <w:szCs w:val="24"/>
        </w:rPr>
        <w:t>2.2. ALERTAS TEMPRANAS</w:t>
      </w:r>
    </w:p>
    <w:p w:rsidR="005E0AA9" w:rsidRDefault="005E0AA9">
      <w:pPr>
        <w:spacing w:after="0" w:line="240" w:lineRule="auto"/>
        <w:jc w:val="both"/>
        <w:rPr>
          <w:rFonts w:ascii="Arial" w:eastAsia="Arial" w:hAnsi="Arial" w:cs="Arial"/>
          <w:sz w:val="24"/>
          <w:szCs w:val="24"/>
        </w:rPr>
      </w:pPr>
    </w:p>
    <w:p w:rsidR="005E0AA9" w:rsidRDefault="0000586B">
      <w:pPr>
        <w:spacing w:line="240" w:lineRule="auto"/>
        <w:jc w:val="both"/>
        <w:rPr>
          <w:rFonts w:ascii="Arial" w:eastAsia="Arial" w:hAnsi="Arial" w:cs="Arial"/>
          <w:sz w:val="24"/>
          <w:szCs w:val="24"/>
        </w:rPr>
      </w:pPr>
      <w:r>
        <w:rPr>
          <w:rFonts w:ascii="Arial" w:eastAsia="Arial" w:hAnsi="Arial" w:cs="Arial"/>
          <w:sz w:val="24"/>
          <w:szCs w:val="24"/>
        </w:rPr>
        <w:t xml:space="preserve">La Defensoría del Pueblo mediante la </w:t>
      </w:r>
      <w:r>
        <w:rPr>
          <w:rFonts w:ascii="Arial" w:eastAsia="Arial" w:hAnsi="Arial" w:cs="Arial"/>
          <w:b/>
          <w:sz w:val="24"/>
          <w:szCs w:val="24"/>
        </w:rPr>
        <w:t>Alerta Temprana N° 010 de 2021</w:t>
      </w:r>
      <w:r>
        <w:rPr>
          <w:rFonts w:ascii="Arial" w:eastAsia="Arial" w:hAnsi="Arial" w:cs="Arial"/>
          <w:sz w:val="24"/>
          <w:szCs w:val="24"/>
        </w:rPr>
        <w:t xml:space="preserve">, afirmó que Bogotá y sus municipios vecinos (Bogotá – Región) se enfrentan a dos escenarios de riesgo: </w:t>
      </w:r>
    </w:p>
    <w:p w:rsidR="005E0AA9" w:rsidRDefault="0000586B">
      <w:pPr>
        <w:spacing w:line="240" w:lineRule="auto"/>
        <w:jc w:val="both"/>
        <w:rPr>
          <w:rFonts w:ascii="Arial" w:eastAsia="Arial" w:hAnsi="Arial" w:cs="Arial"/>
          <w:sz w:val="24"/>
          <w:szCs w:val="24"/>
        </w:rPr>
      </w:pPr>
      <w:r>
        <w:rPr>
          <w:rFonts w:ascii="Arial" w:eastAsia="Arial" w:hAnsi="Arial" w:cs="Arial"/>
          <w:sz w:val="24"/>
          <w:szCs w:val="24"/>
        </w:rPr>
        <w:t xml:space="preserve">El primero de ellos, por la expansión y disputa por el control de corredores de movilidad entre el grupo armado de crimen organizado Los Paisas, presumiblemente subordinados o articulados al actor armado no estatal parte del conflicto armado, autodenominado AGC, contra el grupo armado de crimen organizado Los Boyacos. Estos últimos al parecer, con acuerdos y apoyo de organizaciones de crimen transnacional. Estos corredores se cimientan sobre las bases que permitieron conformar y mantener el Bloque Capital de las AUC en la ciudad de Bogotá D.C., </w:t>
      </w:r>
      <w:r>
        <w:rPr>
          <w:rFonts w:ascii="Arial" w:eastAsia="Arial" w:hAnsi="Arial" w:cs="Arial"/>
          <w:b/>
          <w:sz w:val="24"/>
          <w:szCs w:val="24"/>
        </w:rPr>
        <w:t>y la conformación de una red criminal en la ciudad para ejecutar diferentes actividades como sicariato, producción, distribución y comercialización de estupefacientes, compra venta ilegal de predios, préstamos de usura, imposición de tributos ilegales a cambio de “seguridad”, extorsiones a comerciantes y hurto a personas como mecanismo de auto sostenimiento de las estructuras criminales y de los grupos armados de crimen organizado.</w:t>
      </w:r>
      <w:r>
        <w:rPr>
          <w:rFonts w:ascii="Arial" w:eastAsia="Arial" w:hAnsi="Arial" w:cs="Arial"/>
          <w:sz w:val="24"/>
          <w:szCs w:val="24"/>
        </w:rPr>
        <w:t xml:space="preserve"> </w:t>
      </w:r>
    </w:p>
    <w:p w:rsidR="005E0AA9" w:rsidRDefault="0000586B">
      <w:pPr>
        <w:spacing w:line="240" w:lineRule="auto"/>
        <w:jc w:val="both"/>
        <w:rPr>
          <w:rFonts w:ascii="Arial" w:eastAsia="Arial" w:hAnsi="Arial" w:cs="Arial"/>
          <w:b/>
          <w:sz w:val="24"/>
          <w:szCs w:val="24"/>
        </w:rPr>
      </w:pPr>
      <w:r>
        <w:rPr>
          <w:rFonts w:ascii="Arial" w:eastAsia="Arial" w:hAnsi="Arial" w:cs="Arial"/>
          <w:sz w:val="24"/>
          <w:szCs w:val="24"/>
        </w:rPr>
        <w:t xml:space="preserve">El segundo de estos escenarios tiene que ver con la presencia de actores armados no estatales parte del conflicto armado como el ELN y las facciones disidentes de las ex FARC-EP, agrupadas en los sedimentos del bloque Oriental, los cuales realizan en los territorios advertidos acciones como: </w:t>
      </w:r>
      <w:r>
        <w:rPr>
          <w:rFonts w:ascii="Arial" w:eastAsia="Arial" w:hAnsi="Arial" w:cs="Arial"/>
          <w:b/>
          <w:sz w:val="24"/>
          <w:szCs w:val="24"/>
        </w:rPr>
        <w:t>reclutamiento forzado, uso, utilización y constreñimiento para realizar actividades ilícitas de NNAJ, además de amenazas, extorsiones y restricciones a la movilidad de la población civil. Igualmente, siempre está latente el riesgo por la activación de artefactos explosivos en la ciudad de Bogotá (D.C.) y en la provincia de Soacha (Cundinamarca).</w:t>
      </w:r>
    </w:p>
    <w:p w:rsidR="005E0AA9" w:rsidRDefault="0000586B">
      <w:pPr>
        <w:spacing w:line="240" w:lineRule="auto"/>
        <w:jc w:val="both"/>
        <w:rPr>
          <w:rFonts w:ascii="Arial" w:eastAsia="Arial" w:hAnsi="Arial" w:cs="Arial"/>
          <w:b/>
          <w:sz w:val="24"/>
          <w:szCs w:val="24"/>
        </w:rPr>
      </w:pPr>
      <w:r>
        <w:rPr>
          <w:rFonts w:ascii="Arial" w:eastAsia="Arial" w:hAnsi="Arial" w:cs="Arial"/>
          <w:b/>
          <w:sz w:val="24"/>
          <w:szCs w:val="24"/>
          <w:highlight w:val="white"/>
        </w:rPr>
        <w:t xml:space="preserve">Asimismo, la Defensoría señala que los NNAJ son un grupo poblacional que presenta un alto grado de vulnerabilidad frente a la violencia, presentándose en la Región un </w:t>
      </w:r>
      <w:r>
        <w:rPr>
          <w:rFonts w:ascii="Arial" w:eastAsia="Arial" w:hAnsi="Arial" w:cs="Arial"/>
          <w:b/>
          <w:sz w:val="24"/>
          <w:szCs w:val="24"/>
        </w:rPr>
        <w:t>aumento de las conductas vulneratorias en su contra, tales como amenazas, homicidios, reclutamiento forzado, violencia sexual y violencia intrafamiliar.</w:t>
      </w:r>
    </w:p>
    <w:p w:rsidR="005E0AA9" w:rsidRDefault="0000586B">
      <w:pPr>
        <w:spacing w:line="240" w:lineRule="auto"/>
        <w:jc w:val="both"/>
        <w:rPr>
          <w:rFonts w:ascii="Arial" w:eastAsia="Arial" w:hAnsi="Arial" w:cs="Arial"/>
          <w:b/>
          <w:sz w:val="24"/>
          <w:szCs w:val="24"/>
        </w:rPr>
      </w:pPr>
      <w:r>
        <w:rPr>
          <w:rFonts w:ascii="Arial" w:eastAsia="Arial" w:hAnsi="Arial" w:cs="Arial"/>
          <w:sz w:val="24"/>
          <w:szCs w:val="24"/>
        </w:rPr>
        <w:t xml:space="preserve">De acuerdo con las denuncias presentadas en la Alerta Temprana citada, se presenta una especial afectación hacia los NNAJ que habitan la ciudad de Bogotá y sus municipios circundantes, por el incremento en el uso y utilización de esta población en actividades delictivas, pues </w:t>
      </w:r>
      <w:r>
        <w:rPr>
          <w:rFonts w:ascii="Arial" w:eastAsia="Arial" w:hAnsi="Arial" w:cs="Arial"/>
          <w:b/>
          <w:sz w:val="24"/>
          <w:szCs w:val="24"/>
        </w:rPr>
        <w:t>representan mano de obra asequible para las bandas criminales, especialmente en los últimos dos años como consecuencia de las dificultades económicas derivadas de la pandemia. En este sentido, la Defensoría ha encontrado que, mediante ofertas económicas, de víveres, e incluso alojamiento, se ha logrado la instrumentalización de esta población vulnerable para la realización de acciones de comercialización y distribución de estupefacientes, campaneo y sicariato, entre otros.</w:t>
      </w:r>
    </w:p>
    <w:p w:rsidR="005E0AA9" w:rsidRDefault="0000586B">
      <w:pPr>
        <w:pBdr>
          <w:top w:val="nil"/>
          <w:left w:val="nil"/>
          <w:bottom w:val="nil"/>
          <w:right w:val="nil"/>
          <w:between w:val="nil"/>
        </w:pBdr>
        <w:spacing w:line="240" w:lineRule="auto"/>
        <w:jc w:val="both"/>
        <w:rPr>
          <w:rFonts w:ascii="Arial" w:eastAsia="Arial" w:hAnsi="Arial" w:cs="Arial"/>
          <w:color w:val="000000"/>
          <w:sz w:val="24"/>
          <w:szCs w:val="24"/>
        </w:rPr>
      </w:pPr>
      <w:r>
        <w:rPr>
          <w:rFonts w:ascii="Arial" w:eastAsia="Arial" w:hAnsi="Arial" w:cs="Arial"/>
          <w:color w:val="000000"/>
          <w:sz w:val="24"/>
          <w:szCs w:val="24"/>
        </w:rPr>
        <w:t>Desde el 2019 la Defensoría del Pueblo v</w:t>
      </w:r>
      <w:r>
        <w:rPr>
          <w:rFonts w:ascii="Arial" w:eastAsia="Arial" w:hAnsi="Arial" w:cs="Arial"/>
          <w:sz w:val="24"/>
          <w:szCs w:val="24"/>
        </w:rPr>
        <w:t>iene</w:t>
      </w:r>
      <w:r>
        <w:rPr>
          <w:rFonts w:ascii="Arial" w:eastAsia="Arial" w:hAnsi="Arial" w:cs="Arial"/>
          <w:color w:val="000000"/>
          <w:sz w:val="24"/>
          <w:szCs w:val="24"/>
        </w:rPr>
        <w:t xml:space="preserve"> advirtiendo del riesgo en el que se encontraban los NNAJ. En la </w:t>
      </w:r>
      <w:r>
        <w:rPr>
          <w:rFonts w:ascii="Arial" w:eastAsia="Arial" w:hAnsi="Arial" w:cs="Arial"/>
          <w:b/>
          <w:color w:val="000000"/>
          <w:sz w:val="24"/>
          <w:szCs w:val="24"/>
        </w:rPr>
        <w:t>Alerta Temprana No. 46-19</w:t>
      </w:r>
      <w:r>
        <w:rPr>
          <w:rFonts w:ascii="Arial" w:eastAsia="Arial" w:hAnsi="Arial" w:cs="Arial"/>
          <w:color w:val="000000"/>
          <w:sz w:val="24"/>
          <w:szCs w:val="24"/>
        </w:rPr>
        <w:t>, del 8 de noviembre de 2019, se alerta sobre el riesgo en el que se encuentran las localidades de Santa Fe, La Candelaria, Los Mártires y Puente Aranda, por hacer parte de uno de los corredores de movilidad y zonas de control utilizadas por Grupos de Delincuentes Locales articulados, cooptados o tercerizados por Grupos Armados Ilegales. Por tal razón, la defensoría del Pueblo instó a las autoridades locales y nacionales para que, en el marco de la respuesta rápida a que hace referencia el Decreto 2124 de 2017, focalicen las acciones concretas en los 67 barrios que se ven afectados por la delincuencia.</w:t>
      </w:r>
    </w:p>
    <w:p w:rsidR="005E0AA9" w:rsidRDefault="0000586B">
      <w:pPr>
        <w:pBdr>
          <w:top w:val="nil"/>
          <w:left w:val="nil"/>
          <w:bottom w:val="nil"/>
          <w:right w:val="nil"/>
          <w:between w:val="nil"/>
        </w:pBdr>
        <w:spacing w:line="240" w:lineRule="auto"/>
        <w:jc w:val="both"/>
        <w:rPr>
          <w:rFonts w:ascii="Arial" w:eastAsia="Arial" w:hAnsi="Arial" w:cs="Arial"/>
          <w:b/>
          <w:color w:val="000000"/>
          <w:sz w:val="24"/>
          <w:szCs w:val="24"/>
        </w:rPr>
      </w:pPr>
      <w:r>
        <w:rPr>
          <w:rFonts w:ascii="Arial" w:eastAsia="Arial" w:hAnsi="Arial" w:cs="Arial"/>
          <w:b/>
          <w:color w:val="000000"/>
          <w:sz w:val="24"/>
          <w:szCs w:val="24"/>
        </w:rPr>
        <w:t>Tras la desarticulación y el desmantelamiento de la “olla” más grande de la ciudad, el “Bronx”, los grupos del crimen organizado que ejercían su dominio en este sector, se dispersaron por varias zonas de la ciudad, reubicándose en lo territorial, expandiendo y disputando su poder, dando lugar a situaciones que ponen en riesgo la vida e integridad de las personas que viven o trabajan en las diferentes localidades, es especial la de Santa Fe, Los Mártires y Puente Aranda.</w:t>
      </w:r>
    </w:p>
    <w:p w:rsidR="005E0AA9" w:rsidRDefault="0000586B">
      <w:pPr>
        <w:pBdr>
          <w:top w:val="nil"/>
          <w:left w:val="nil"/>
          <w:bottom w:val="nil"/>
          <w:right w:val="nil"/>
          <w:between w:val="nil"/>
        </w:pBdr>
        <w:spacing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En las tres localidades mencionadas, el </w:t>
      </w:r>
      <w:r>
        <w:rPr>
          <w:rFonts w:ascii="Arial" w:eastAsia="Arial" w:hAnsi="Arial" w:cs="Arial"/>
          <w:color w:val="000000"/>
          <w:sz w:val="24"/>
          <w:szCs w:val="24"/>
          <w:highlight w:val="white"/>
        </w:rPr>
        <w:t>SAT</w:t>
      </w:r>
      <w:r>
        <w:rPr>
          <w:rFonts w:ascii="Arial" w:eastAsia="Arial" w:hAnsi="Arial" w:cs="Arial"/>
          <w:color w:val="000000"/>
          <w:sz w:val="24"/>
          <w:szCs w:val="24"/>
        </w:rPr>
        <w:t xml:space="preserve"> identificó los siguientes grupos poblacionales con mayor exposición ante el riesgo: Mujeres cisgénero y transgénero que realizan Actividades Sexuales en Contextos de Prostitución (ASCP) de calle; NNAJ, especialmente aquellos que se encuentran en riesgo o situación de calle y/o desplazamiento forzado, principalmente pertenecientes a las etnias Embera Chamí y Katío; servidores/as públicos/as que realizan actividades en territorio; periodistas, miembro de ONG´s y organizaciones sociales que realizan trabajo con poblaciones en riesgo en la localidad, y población migrante forzada internacional de origen venezolano.</w:t>
      </w:r>
    </w:p>
    <w:p w:rsidR="005E0AA9" w:rsidRDefault="0000586B">
      <w:pPr>
        <w:pBdr>
          <w:top w:val="nil"/>
          <w:left w:val="nil"/>
          <w:bottom w:val="nil"/>
          <w:right w:val="nil"/>
          <w:between w:val="nil"/>
        </w:pBdr>
        <w:spacing w:line="240" w:lineRule="auto"/>
        <w:jc w:val="both"/>
        <w:rPr>
          <w:rFonts w:ascii="Arial" w:eastAsia="Arial" w:hAnsi="Arial" w:cs="Arial"/>
          <w:color w:val="000000"/>
          <w:sz w:val="24"/>
          <w:szCs w:val="24"/>
        </w:rPr>
      </w:pPr>
      <w:r>
        <w:rPr>
          <w:rFonts w:ascii="Arial" w:eastAsia="Arial" w:hAnsi="Arial" w:cs="Arial"/>
          <w:color w:val="000000"/>
          <w:sz w:val="24"/>
          <w:szCs w:val="24"/>
        </w:rPr>
        <w:t>La Defensoría señaló que el escenario de riesgo e</w:t>
      </w:r>
      <w:r>
        <w:rPr>
          <w:rFonts w:ascii="Arial" w:eastAsia="Arial" w:hAnsi="Arial" w:cs="Arial"/>
          <w:sz w:val="24"/>
          <w:szCs w:val="24"/>
        </w:rPr>
        <w:t>n</w:t>
      </w:r>
      <w:r>
        <w:rPr>
          <w:rFonts w:ascii="Arial" w:eastAsia="Arial" w:hAnsi="Arial" w:cs="Arial"/>
          <w:color w:val="000000"/>
          <w:sz w:val="24"/>
          <w:szCs w:val="24"/>
        </w:rPr>
        <w:t xml:space="preserve"> las localidades señaladas obedece a que en estas se articulan y estructura</w:t>
      </w:r>
      <w:r>
        <w:rPr>
          <w:rFonts w:ascii="Arial" w:eastAsia="Arial" w:hAnsi="Arial" w:cs="Arial"/>
          <w:sz w:val="24"/>
          <w:szCs w:val="24"/>
        </w:rPr>
        <w:t xml:space="preserve">n </w:t>
      </w:r>
      <w:r>
        <w:rPr>
          <w:rFonts w:ascii="Arial" w:eastAsia="Arial" w:hAnsi="Arial" w:cs="Arial"/>
          <w:color w:val="000000"/>
          <w:sz w:val="24"/>
          <w:szCs w:val="24"/>
        </w:rPr>
        <w:t xml:space="preserve">bandas delincuenciales locales, las cuales se dedican a actividades como el sicariato, el microtráfico, la </w:t>
      </w:r>
      <w:r>
        <w:rPr>
          <w:rFonts w:ascii="Arial" w:eastAsia="Arial" w:hAnsi="Arial" w:cs="Arial"/>
          <w:sz w:val="24"/>
          <w:szCs w:val="24"/>
        </w:rPr>
        <w:t>extorsión</w:t>
      </w:r>
      <w:r>
        <w:rPr>
          <w:rFonts w:ascii="Arial" w:eastAsia="Arial" w:hAnsi="Arial" w:cs="Arial"/>
          <w:color w:val="000000"/>
          <w:sz w:val="24"/>
          <w:szCs w:val="24"/>
        </w:rPr>
        <w:t xml:space="preserve">, amenazas y actos violentos contra </w:t>
      </w:r>
      <w:r>
        <w:rPr>
          <w:rFonts w:ascii="Arial" w:eastAsia="Arial" w:hAnsi="Arial" w:cs="Arial"/>
          <w:sz w:val="24"/>
          <w:szCs w:val="24"/>
        </w:rPr>
        <w:t>líderes</w:t>
      </w:r>
      <w:r>
        <w:rPr>
          <w:rFonts w:ascii="Arial" w:eastAsia="Arial" w:hAnsi="Arial" w:cs="Arial"/>
          <w:color w:val="000000"/>
          <w:sz w:val="24"/>
          <w:szCs w:val="24"/>
        </w:rPr>
        <w:t>/as y defensores de derechos humanos.</w:t>
      </w:r>
    </w:p>
    <w:p w:rsidR="005E0AA9" w:rsidRDefault="0000586B">
      <w:pPr>
        <w:pBdr>
          <w:top w:val="nil"/>
          <w:left w:val="nil"/>
          <w:bottom w:val="nil"/>
          <w:right w:val="nil"/>
          <w:between w:val="nil"/>
        </w:pBdr>
        <w:spacing w:line="240" w:lineRule="auto"/>
        <w:jc w:val="both"/>
        <w:rPr>
          <w:rFonts w:ascii="Arial" w:eastAsia="Arial" w:hAnsi="Arial" w:cs="Arial"/>
          <w:b/>
          <w:color w:val="000000"/>
          <w:sz w:val="24"/>
          <w:szCs w:val="24"/>
        </w:rPr>
      </w:pPr>
      <w:r>
        <w:rPr>
          <w:rFonts w:ascii="Arial" w:eastAsia="Arial" w:hAnsi="Arial" w:cs="Arial"/>
          <w:b/>
          <w:color w:val="000000"/>
          <w:sz w:val="24"/>
          <w:szCs w:val="24"/>
        </w:rPr>
        <w:t>Resulta muy preocupante la situación de vulnerabilidad en la que se encuentran los NNAJ que habitan o permanecen en estas localidades, ya que son en su mayoría hijos e hijas de personas que realizan ASCP, así como de personas dedicadas al reciclaje y de personas migrantes forzadas de origen venezolano en situación de vulnerabilidad socioeconómica, quienes están inmersos en contextos de mendicidad o inclusive, estarían siendo víctimas de explotación para fines de mendacidad. Esta condición</w:t>
      </w:r>
      <w:r>
        <w:rPr>
          <w:rFonts w:ascii="Arial" w:eastAsia="Arial" w:hAnsi="Arial" w:cs="Arial"/>
          <w:b/>
          <w:sz w:val="24"/>
          <w:szCs w:val="24"/>
        </w:rPr>
        <w:t xml:space="preserve"> </w:t>
      </w:r>
      <w:r>
        <w:rPr>
          <w:rFonts w:ascii="Arial" w:eastAsia="Arial" w:hAnsi="Arial" w:cs="Arial"/>
          <w:b/>
          <w:color w:val="000000"/>
          <w:sz w:val="24"/>
          <w:szCs w:val="24"/>
        </w:rPr>
        <w:t>representa un alto grado de vulnerabilidad a</w:t>
      </w:r>
      <w:r>
        <w:rPr>
          <w:rFonts w:ascii="Arial" w:eastAsia="Arial" w:hAnsi="Arial" w:cs="Arial"/>
          <w:b/>
          <w:sz w:val="24"/>
          <w:szCs w:val="24"/>
        </w:rPr>
        <w:t xml:space="preserve">nte </w:t>
      </w:r>
      <w:r>
        <w:rPr>
          <w:rFonts w:ascii="Arial" w:eastAsia="Arial" w:hAnsi="Arial" w:cs="Arial"/>
          <w:b/>
          <w:color w:val="000000"/>
          <w:sz w:val="24"/>
          <w:szCs w:val="24"/>
        </w:rPr>
        <w:t xml:space="preserve">riesgos relacionados con el uso de Sustancias Psicoactivas (SPA), posible vinculación a grupos armados ilegales, abuso y explotación sexual comercial infantil, entre otros. Estos NNAJ son vinculados a las estructuras </w:t>
      </w:r>
      <w:r>
        <w:rPr>
          <w:rFonts w:ascii="Arial" w:eastAsia="Arial" w:hAnsi="Arial" w:cs="Arial"/>
          <w:b/>
          <w:sz w:val="24"/>
          <w:szCs w:val="24"/>
        </w:rPr>
        <w:t>del crimen</w:t>
      </w:r>
      <w:r>
        <w:rPr>
          <w:rFonts w:ascii="Arial" w:eastAsia="Arial" w:hAnsi="Arial" w:cs="Arial"/>
          <w:b/>
          <w:color w:val="000000"/>
          <w:sz w:val="24"/>
          <w:szCs w:val="24"/>
        </w:rPr>
        <w:t xml:space="preserve"> organizado para realizar las actividades a las cuales se dedican.</w:t>
      </w:r>
    </w:p>
    <w:p w:rsidR="005E0AA9" w:rsidRDefault="0000586B">
      <w:pPr>
        <w:pBdr>
          <w:top w:val="nil"/>
          <w:left w:val="nil"/>
          <w:bottom w:val="nil"/>
          <w:right w:val="nil"/>
          <w:between w:val="nil"/>
        </w:pBdr>
        <w:spacing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Dentro de las recomendaciones contempladas en la Alerta Temprana No. 046, se resalta aquella dirigida al Concejo de Bogotá, que </w:t>
      </w:r>
      <w:r>
        <w:rPr>
          <w:rFonts w:ascii="Arial" w:eastAsia="Arial" w:hAnsi="Arial" w:cs="Arial"/>
          <w:b/>
          <w:color w:val="000000"/>
          <w:sz w:val="24"/>
          <w:szCs w:val="24"/>
        </w:rPr>
        <w:t>consiste en evaluar la posibilidad de aumentar el presupuesto destinado al fortalecimiento de la cobertura de los servicios sociales en las localidades objeto de la alerta, con el objeto de incrementar la capacidad de la atención de personas habitantes de calle en las diferentes modalidades de servicios con enfoque diferencial con las que cuenta el Distrito.</w:t>
      </w:r>
      <w:r>
        <w:rPr>
          <w:rFonts w:ascii="Arial" w:eastAsia="Arial" w:hAnsi="Arial" w:cs="Arial"/>
          <w:color w:val="000000"/>
          <w:sz w:val="24"/>
          <w:szCs w:val="24"/>
        </w:rPr>
        <w:t xml:space="preserve"> Adicionalmente, fortalecer medidas de prevención dirigidas a NNAJ en riesgo o en alta permanencia en calle, entre ellas, la implementación de la jornada extendida a través del Programa CREA, la disponibilidad de Jardines Infantiles del Distrito con coberturas suficientes en la modalidad nocturna para los niños y niñas en primera infancia de los barrios objeto de advertencia que así lo requieran, entre otros servicios.</w:t>
      </w:r>
    </w:p>
    <w:p w:rsidR="005E0AA9" w:rsidRDefault="0000586B">
      <w:pPr>
        <w:pBdr>
          <w:top w:val="nil"/>
          <w:left w:val="nil"/>
          <w:bottom w:val="nil"/>
          <w:right w:val="nil"/>
          <w:between w:val="nil"/>
        </w:pBdr>
        <w:spacing w:line="240" w:lineRule="auto"/>
        <w:jc w:val="both"/>
        <w:rPr>
          <w:rFonts w:ascii="Arial" w:eastAsia="Arial" w:hAnsi="Arial" w:cs="Arial"/>
          <w:color w:val="000000"/>
          <w:sz w:val="24"/>
          <w:szCs w:val="24"/>
        </w:rPr>
      </w:pPr>
      <w:r>
        <w:rPr>
          <w:rFonts w:ascii="Arial" w:eastAsia="Arial" w:hAnsi="Arial" w:cs="Arial"/>
          <w:color w:val="000000"/>
          <w:sz w:val="24"/>
          <w:szCs w:val="24"/>
        </w:rPr>
        <w:t>Adicionalmente, la defensoría del Pueblo sugiere evaluar el impacto de los servicios disponibles para la atención de personas</w:t>
      </w:r>
      <w:r>
        <w:rPr>
          <w:rFonts w:ascii="Arial" w:eastAsia="Arial" w:hAnsi="Arial" w:cs="Arial"/>
          <w:sz w:val="24"/>
          <w:szCs w:val="24"/>
        </w:rPr>
        <w:t xml:space="preserve"> </w:t>
      </w:r>
      <w:r>
        <w:rPr>
          <w:rFonts w:ascii="Arial" w:eastAsia="Arial" w:hAnsi="Arial" w:cs="Arial"/>
          <w:color w:val="000000"/>
          <w:sz w:val="24"/>
          <w:szCs w:val="24"/>
        </w:rPr>
        <w:t>con orientación sexual e identidad de género diversa (OSIGD), y realizar los ajustes que correspondan con el fin de que éstos aumenten su capacidad de cobertura y de garantía efectiva de derechos.</w:t>
      </w:r>
    </w:p>
    <w:p w:rsidR="005E0AA9" w:rsidRDefault="0000586B">
      <w:pPr>
        <w:pBdr>
          <w:top w:val="nil"/>
          <w:left w:val="nil"/>
          <w:bottom w:val="nil"/>
          <w:right w:val="nil"/>
          <w:between w:val="nil"/>
        </w:pBdr>
        <w:spacing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Asimismo, en 2020 fue emitida la Alerta Temprana de Inminencia </w:t>
      </w:r>
      <w:r>
        <w:rPr>
          <w:rFonts w:ascii="Arial" w:eastAsia="Arial" w:hAnsi="Arial" w:cs="Arial"/>
          <w:b/>
          <w:color w:val="000000"/>
          <w:sz w:val="24"/>
          <w:szCs w:val="24"/>
          <w:u w:val="single"/>
        </w:rPr>
        <w:t>Nº 022–2020,</w:t>
      </w:r>
      <w:r>
        <w:rPr>
          <w:rFonts w:ascii="Arial" w:eastAsia="Arial" w:hAnsi="Arial" w:cs="Arial"/>
          <w:color w:val="000000"/>
          <w:sz w:val="24"/>
          <w:szCs w:val="24"/>
        </w:rPr>
        <w:t xml:space="preserve"> debido a la situación de riesgo de vulneraciones a los Derechos Humanos (DDHH) e infracciones al Derecho Internacional Humanitario (DIH) de los habitantes de las Unidades de Planeación Zonal– UPZ: Verbenal, La Uribe, San Cristóbal Norte y Toberín (localidad de Usaquén), ubicadas en la ciudad de Bogotá, Distrito Capital Existe el riesgo para NNAJ que habitan las UPZ relacionadas; el cual se configura por la vinculación, uso y utilización por parte de grupos armados de delincuencia organizada – GADO, y puede derivar incluso en homicidios, desapariciones forzadas, desplazamientos forzados, tratos inhumanos y degradantes, restricciones a la movilidad, ataques indiscriminados, entre otras violencias en su contra.</w:t>
      </w:r>
    </w:p>
    <w:p w:rsidR="005E0AA9" w:rsidRDefault="0000586B">
      <w:pPr>
        <w:pBdr>
          <w:top w:val="nil"/>
          <w:left w:val="nil"/>
          <w:bottom w:val="nil"/>
          <w:right w:val="nil"/>
          <w:between w:val="nil"/>
        </w:pBdr>
        <w:spacing w:line="240" w:lineRule="auto"/>
        <w:jc w:val="both"/>
        <w:rPr>
          <w:rFonts w:ascii="Arial" w:eastAsia="Arial" w:hAnsi="Arial" w:cs="Arial"/>
          <w:color w:val="000000"/>
          <w:sz w:val="24"/>
          <w:szCs w:val="24"/>
        </w:rPr>
      </w:pPr>
      <w:r>
        <w:rPr>
          <w:rFonts w:ascii="Arial" w:eastAsia="Arial" w:hAnsi="Arial" w:cs="Arial"/>
          <w:color w:val="000000"/>
          <w:sz w:val="24"/>
          <w:szCs w:val="24"/>
        </w:rPr>
        <w:t>Estos hechos pueden explicar el aumento en un 46% de los homicidios en la localidad de Usaquén, donde se evidenció que durante los primeros cuatro meses de 2020 se presentaron 16 homicidios, mientras que para el mismo periodo del 2019 se presentaron 11 homicidios, síntoma que puede dar cuenta de una posible dinámica de expansión o dispersión de grupos de delincuencia organizada - GADO, tales como “Los Paisas” y la disputa por el control de los corredores de movilidad que conectan a la ciudad de Bogotá con el Nororiente de Colombia. Los grupos sucesores del paramilitarismo, incluyendo GADO, al incursionar en un “nuevo” territorio, intentan someter los grupos de delincuencia locales y buscan el apoyo o silencio de los habitantes, a través del despliegue de diferentes formas de violencia; así, en estas zonas aumentan las violaciones a los derechos humanos, en especial a la vida, la integridad, la seguridad y la libertad.</w:t>
      </w:r>
    </w:p>
    <w:p w:rsidR="005E0AA9" w:rsidRDefault="0000586B">
      <w:pPr>
        <w:pBdr>
          <w:top w:val="nil"/>
          <w:left w:val="nil"/>
          <w:bottom w:val="nil"/>
          <w:right w:val="nil"/>
          <w:between w:val="nil"/>
        </w:pBdr>
        <w:spacing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Frente a esta problemática es preocupante el bajo nivel de atención de las poblaciones afectadas para prevenir esta situación que violenta los derechos fundamentales de la ciudadanía, dado que ya son 11 localidades las que se encuentran en riesgo inminente al día de hoy. Desde junio de 2020 la Procuraduría General de la Nación denunció ante la Fiscalía General, el reclutamiento y uso de menores en la comisión de delitos durante la pandemia, al servicio de actores armados como el ELN y las Autodefensas Gaitanistas, así como por parte de grupos de delincuencia organizada.   </w:t>
      </w:r>
    </w:p>
    <w:p w:rsidR="005E0AA9" w:rsidRDefault="0000586B">
      <w:pPr>
        <w:spacing w:line="240" w:lineRule="auto"/>
        <w:jc w:val="both"/>
        <w:rPr>
          <w:rFonts w:ascii="Arial" w:eastAsia="Arial" w:hAnsi="Arial" w:cs="Arial"/>
          <w:sz w:val="24"/>
          <w:szCs w:val="24"/>
        </w:rPr>
      </w:pPr>
      <w:r>
        <w:rPr>
          <w:rFonts w:ascii="Arial" w:eastAsia="Arial" w:hAnsi="Arial" w:cs="Arial"/>
          <w:sz w:val="24"/>
          <w:szCs w:val="24"/>
        </w:rPr>
        <w:t xml:space="preserve">Por otro lado, cabe resaltar que la población de NNJA representan una ventaja para las organizaciones criminales a la hora de cometer actos delictivos, en la medida en que generan confianza frente a las autoridades, facilitando la comercialización de sustancias psicoactivas, sumado a la flexibilidad en las consecuencias legales que recaen en esta población por ser menores de edad. </w:t>
      </w:r>
    </w:p>
    <w:p w:rsidR="005E0AA9" w:rsidRDefault="0000586B">
      <w:pPr>
        <w:spacing w:line="240" w:lineRule="auto"/>
        <w:jc w:val="both"/>
        <w:rPr>
          <w:rFonts w:ascii="Arial" w:eastAsia="Arial" w:hAnsi="Arial" w:cs="Arial"/>
          <w:sz w:val="24"/>
          <w:szCs w:val="24"/>
        </w:rPr>
      </w:pPr>
      <w:r>
        <w:rPr>
          <w:rFonts w:ascii="Arial" w:eastAsia="Arial" w:hAnsi="Arial" w:cs="Arial"/>
          <w:b/>
          <w:sz w:val="24"/>
          <w:szCs w:val="24"/>
        </w:rPr>
        <w:t>Frente a este panorama, la Alerta Temprana No. 004 - 24 indica que en la ciudad las bandas criminales operan bajo el modelo de ‘Gobernanza Criminal’, donde aprovechan la marginalidad de las zonas que controlan, las falencias en la oferta de servicios y las bajas capacidades institucionales y sociales en localidades como Santa Fe, Los Mártires, Ciudad Bolívar, Kennedy y Bosa, para usar la coerción y cooptación de quienes habitan estos espacios por ser más susceptibles de instrumentalización, dadas las precarias condiciones sociales en las que conviven. Esto, al tiempo que sobornan a funcionarios públicos con el fin de multiplicar su poder hasta ejercer un control social y territorial, donde la imposición del miedo y la subvención económica son las que legitiman sus acciones</w:t>
      </w:r>
      <w:r>
        <w:rPr>
          <w:rFonts w:ascii="Arial" w:eastAsia="Arial" w:hAnsi="Arial" w:cs="Arial"/>
          <w:b/>
          <w:sz w:val="24"/>
          <w:szCs w:val="24"/>
          <w:vertAlign w:val="superscript"/>
        </w:rPr>
        <w:footnoteReference w:id="2"/>
      </w:r>
      <w:r>
        <w:rPr>
          <w:rFonts w:ascii="Arial" w:eastAsia="Arial" w:hAnsi="Arial" w:cs="Arial"/>
          <w:b/>
          <w:sz w:val="24"/>
          <w:szCs w:val="24"/>
        </w:rPr>
        <w:t xml:space="preserve">. </w:t>
      </w:r>
      <w:r>
        <w:rPr>
          <w:rFonts w:ascii="Arial" w:eastAsia="Arial" w:hAnsi="Arial" w:cs="Arial"/>
          <w:b/>
          <w:sz w:val="24"/>
          <w:szCs w:val="24"/>
          <w:highlight w:val="white"/>
        </w:rPr>
        <w:t>La marginalidad de la población junto con la amenaza de estas bandas criminales, son los pilares de gobernanza criminal en la ciudad de Bogotá.</w:t>
      </w:r>
      <w:r>
        <w:rPr>
          <w:rFonts w:ascii="Arial" w:eastAsia="Arial" w:hAnsi="Arial" w:cs="Arial"/>
          <w:b/>
          <w:sz w:val="24"/>
          <w:szCs w:val="24"/>
          <w:u w:val="single"/>
          <w:shd w:val="clear" w:color="auto" w:fill="CCCCCC"/>
        </w:rPr>
        <w:t xml:space="preserve"> </w:t>
      </w:r>
    </w:p>
    <w:p w:rsidR="005E0AA9" w:rsidRDefault="0000586B">
      <w:pPr>
        <w:spacing w:after="0" w:line="240" w:lineRule="auto"/>
        <w:jc w:val="both"/>
        <w:rPr>
          <w:rFonts w:ascii="Arial" w:eastAsia="Arial" w:hAnsi="Arial" w:cs="Arial"/>
          <w:sz w:val="24"/>
          <w:szCs w:val="24"/>
        </w:rPr>
      </w:pPr>
      <w:r>
        <w:rPr>
          <w:rFonts w:ascii="Arial" w:eastAsia="Arial" w:hAnsi="Arial" w:cs="Arial"/>
          <w:sz w:val="24"/>
          <w:szCs w:val="24"/>
        </w:rPr>
        <w:t>Así mismo, este modelo de gobernanza criminal es una muestra de la enmascarada captación de NNAJ en actividades delincuenciales, ya que dichas actividades son realizadas por los miembros de nivel más bajo en las bandas criminales, que son de carácter local y que usualmente están subordinados a organizaciones de más alto nivel en los que se concentra la ejecución de este delito, el cual opera mediante la delegación de funciones específicas a individuos o grupos externos que no son parte directa de la organización criminal principal, pero que colaboran estrechamente con ella. Tal y como indica la Defensoría del Pueblo en  la Alerta Temprana anteriormente mencionada, este modelo de tercerización permite a las organizaciones criminales expandir su influencia y operaciones a través de NNAJ sin aumentar significativamente su exposición o riesgo.</w:t>
      </w:r>
    </w:p>
    <w:p w:rsidR="005E0AA9" w:rsidRDefault="005E0AA9">
      <w:pPr>
        <w:spacing w:after="0" w:line="240" w:lineRule="auto"/>
        <w:jc w:val="both"/>
        <w:rPr>
          <w:rFonts w:ascii="Arial" w:eastAsia="Arial" w:hAnsi="Arial" w:cs="Arial"/>
          <w:sz w:val="24"/>
          <w:szCs w:val="24"/>
        </w:rPr>
      </w:pPr>
    </w:p>
    <w:p w:rsidR="005E0AA9" w:rsidRDefault="0000586B">
      <w:pPr>
        <w:spacing w:line="240" w:lineRule="auto"/>
        <w:jc w:val="both"/>
        <w:rPr>
          <w:rFonts w:ascii="Arial" w:eastAsia="Arial" w:hAnsi="Arial" w:cs="Arial"/>
          <w:sz w:val="24"/>
          <w:szCs w:val="24"/>
        </w:rPr>
      </w:pPr>
      <w:r>
        <w:rPr>
          <w:rFonts w:ascii="Arial" w:eastAsia="Arial" w:hAnsi="Arial" w:cs="Arial"/>
          <w:b/>
          <w:sz w:val="24"/>
          <w:szCs w:val="24"/>
        </w:rPr>
        <w:t>Es importante señalar que el reclutamiento forzado es un fenómeno de la gobernanza criminal, que históricamente se ha presentado en la zona rural de Colombia, dadas las lógicas propias del conflicto armado. No obstante, tras los tratados de paz  y la desmovilización de los grupos paramilitares y, posteriormente, de la guerrilla de las FARC en el 2016, el conflicto sufrió una metamorfosis que ocasionó que algunos grupos armados se trasladaran a las principales ciudades, dando lugar a la conformación de nuevas estructuras criminales, generando nuevas formas de reclutamiento. Esto se ha visto reflejado en un aumento del reclutamiento en las ciudades del país, afectando especialmente a la población de NNJA, dado su alto grado de vulnerabilidad. En el caso de Bogotá, las denuncias presentadas por la Defensoría del Pueblo “</w:t>
      </w:r>
      <w:r>
        <w:rPr>
          <w:rFonts w:ascii="Arial" w:eastAsia="Arial" w:hAnsi="Arial" w:cs="Arial"/>
          <w:b/>
          <w:i/>
          <w:sz w:val="24"/>
          <w:szCs w:val="24"/>
        </w:rPr>
        <w:t>han evidenciado la presencia de camionetas de alta gama que, sin importar que sea a plena luz del día, han sido relacionadas con reclutamientos y desapariciones.</w:t>
      </w:r>
      <w:r>
        <w:rPr>
          <w:rFonts w:ascii="Arial" w:eastAsia="Arial" w:hAnsi="Arial" w:cs="Arial"/>
          <w:b/>
          <w:sz w:val="24"/>
          <w:szCs w:val="24"/>
        </w:rPr>
        <w:t>”</w:t>
      </w:r>
      <w:r>
        <w:rPr>
          <w:rFonts w:ascii="Arial" w:eastAsia="Arial" w:hAnsi="Arial" w:cs="Arial"/>
          <w:sz w:val="24"/>
          <w:szCs w:val="24"/>
          <w:vertAlign w:val="superscript"/>
        </w:rPr>
        <w:t xml:space="preserve"> </w:t>
      </w:r>
      <w:r>
        <w:rPr>
          <w:rFonts w:ascii="Arial" w:eastAsia="Arial" w:hAnsi="Arial" w:cs="Arial"/>
          <w:sz w:val="24"/>
          <w:szCs w:val="24"/>
          <w:vertAlign w:val="superscript"/>
        </w:rPr>
        <w:footnoteReference w:id="3"/>
      </w:r>
      <w:r w:rsidR="0062655C">
        <w:rPr>
          <w:rFonts w:ascii="Arial" w:eastAsia="Arial" w:hAnsi="Arial" w:cs="Arial"/>
          <w:sz w:val="24"/>
          <w:szCs w:val="24"/>
        </w:rPr>
        <w:t xml:space="preserve"> </w:t>
      </w:r>
    </w:p>
    <w:p w:rsidR="005E0AA9" w:rsidRDefault="0000586B">
      <w:pPr>
        <w:spacing w:line="240" w:lineRule="auto"/>
        <w:jc w:val="both"/>
        <w:rPr>
          <w:rFonts w:ascii="Arial" w:eastAsia="Arial" w:hAnsi="Arial" w:cs="Arial"/>
          <w:b/>
          <w:sz w:val="24"/>
          <w:szCs w:val="24"/>
        </w:rPr>
      </w:pPr>
      <w:r>
        <w:rPr>
          <w:rFonts w:ascii="Arial" w:eastAsia="Arial" w:hAnsi="Arial" w:cs="Arial"/>
          <w:b/>
          <w:sz w:val="24"/>
          <w:szCs w:val="24"/>
        </w:rPr>
        <w:t>2.3. CIFRAS</w:t>
      </w:r>
    </w:p>
    <w:p w:rsidR="005E0AA9" w:rsidRDefault="0000586B">
      <w:pPr>
        <w:spacing w:line="240" w:lineRule="auto"/>
        <w:jc w:val="both"/>
        <w:rPr>
          <w:rFonts w:ascii="Arial" w:eastAsia="Arial" w:hAnsi="Arial" w:cs="Arial"/>
          <w:sz w:val="24"/>
          <w:szCs w:val="24"/>
        </w:rPr>
      </w:pPr>
      <w:r>
        <w:rPr>
          <w:rFonts w:ascii="Arial" w:eastAsia="Arial" w:hAnsi="Arial" w:cs="Arial"/>
          <w:sz w:val="24"/>
          <w:szCs w:val="24"/>
        </w:rPr>
        <w:t>La anterior hipótesis se sustenta en los datos reportados por la Coalición contra la vinculación de niños, niñas y jóvenes al conflicto armado en Colombia (COALICO), quien reportó 190 casos de reclutamiento y uso de niños y niñas, incluidos venezolanos, por parte de grupos armados ilegales entre el 1 de enero y el 30 de junio de 2021, en comparación con 38 casos en el mismo período en 2019, lo cual representa un aumento significativo y que genera gran preocupación.</w:t>
      </w:r>
    </w:p>
    <w:p w:rsidR="005E0AA9" w:rsidRDefault="0000586B">
      <w:pPr>
        <w:spacing w:line="240" w:lineRule="auto"/>
        <w:jc w:val="both"/>
        <w:rPr>
          <w:rFonts w:ascii="Arial" w:eastAsia="Arial" w:hAnsi="Arial" w:cs="Arial"/>
          <w:sz w:val="24"/>
          <w:szCs w:val="24"/>
        </w:rPr>
      </w:pPr>
      <w:r>
        <w:rPr>
          <w:rFonts w:ascii="Arial" w:eastAsia="Arial" w:hAnsi="Arial" w:cs="Arial"/>
          <w:sz w:val="24"/>
          <w:szCs w:val="24"/>
        </w:rPr>
        <w:t>Hay que mencionar, además, que el cierre de establecimientos y entornos protectores, sociales y comunitarios ha exacerbado la exposición de los NNAJ a las prácticas criminales de las estructuras ilegales, el reclutamiento forzado, y la utilización y uso de esta población para diferentes actividades que van desde el campaneo hasta el sicariato.</w:t>
      </w:r>
    </w:p>
    <w:p w:rsidR="005E0AA9" w:rsidRDefault="0000586B">
      <w:pPr>
        <w:spacing w:line="240" w:lineRule="auto"/>
        <w:jc w:val="both"/>
        <w:rPr>
          <w:rFonts w:ascii="Arial" w:eastAsia="Arial" w:hAnsi="Arial" w:cs="Arial"/>
          <w:sz w:val="24"/>
          <w:szCs w:val="24"/>
        </w:rPr>
      </w:pPr>
      <w:r>
        <w:rPr>
          <w:rFonts w:ascii="Arial" w:eastAsia="Arial" w:hAnsi="Arial" w:cs="Arial"/>
          <w:sz w:val="24"/>
          <w:szCs w:val="24"/>
        </w:rPr>
        <w:t>Como consecuencia del contexto descrito, en diferentes localidades de la ciudad capital los NNAJ han venido siendo víctimas de diferentes actividades por parte de los grupos armados ilegales como: grupos sucesores del paramilitarismo, disidencias de las ex FARC-EP y ELN. Son los mismos NNAJ quienes refieren diferentes casos de reclutamiento forzado por parte de los grupos armados ilegales que hacen presencia en la ciudad.</w:t>
      </w:r>
    </w:p>
    <w:p w:rsidR="005E0AA9" w:rsidRDefault="0000586B">
      <w:pPr>
        <w:spacing w:line="240" w:lineRule="auto"/>
        <w:jc w:val="both"/>
        <w:rPr>
          <w:rFonts w:ascii="Arial" w:eastAsia="Arial" w:hAnsi="Arial" w:cs="Arial"/>
          <w:b/>
          <w:sz w:val="24"/>
          <w:szCs w:val="24"/>
        </w:rPr>
      </w:pPr>
      <w:r>
        <w:rPr>
          <w:rFonts w:ascii="Arial" w:eastAsia="Arial" w:hAnsi="Arial" w:cs="Arial"/>
          <w:sz w:val="24"/>
          <w:szCs w:val="24"/>
        </w:rPr>
        <w:t>Cabe señalar que no sólo la población de NNJA se encuentra en riesgo. También se encuentran en especial situación de vulnerabilidad quienes realizan trabajo social enfocado a la prevención del reclutamiento forzado, uso y utilización de NNAJ, y a la defensa de derechos humanos, así como los miembros de organizaciones de víctimas y finalmente, aquellos grupos sociales vinculados a la protesta social, tales como sindicatos, estudiantes, movimientos y p</w:t>
      </w:r>
      <w:r w:rsidR="0062655C">
        <w:rPr>
          <w:rFonts w:ascii="Arial" w:eastAsia="Arial" w:hAnsi="Arial" w:cs="Arial"/>
          <w:sz w:val="24"/>
          <w:szCs w:val="24"/>
        </w:rPr>
        <w:t>artidos políticos, entre otros.</w:t>
      </w:r>
    </w:p>
    <w:p w:rsidR="005E0AA9" w:rsidRDefault="0000586B">
      <w:pPr>
        <w:spacing w:line="240" w:lineRule="auto"/>
        <w:jc w:val="both"/>
        <w:rPr>
          <w:rFonts w:ascii="Arial" w:eastAsia="Arial" w:hAnsi="Arial" w:cs="Arial"/>
          <w:b/>
          <w:sz w:val="24"/>
          <w:szCs w:val="24"/>
        </w:rPr>
      </w:pPr>
      <w:r>
        <w:rPr>
          <w:rFonts w:ascii="Arial" w:eastAsia="Arial" w:hAnsi="Arial" w:cs="Arial"/>
          <w:b/>
          <w:sz w:val="24"/>
          <w:szCs w:val="24"/>
        </w:rPr>
        <w:t>2.4. RETOS PARA LA PREVENCIÓN DEL RECLUTAMIENTO, UTILIZACIÓN, USO, VIOLENCIA Y EXPLOTACIÓN SEXUAL DE NNAJ EN BOGOTÁ</w:t>
      </w:r>
    </w:p>
    <w:p w:rsidR="005E0AA9" w:rsidRDefault="0000586B">
      <w:pPr>
        <w:spacing w:line="240" w:lineRule="auto"/>
        <w:jc w:val="both"/>
        <w:rPr>
          <w:rFonts w:ascii="Arial" w:eastAsia="Arial" w:hAnsi="Arial" w:cs="Arial"/>
          <w:sz w:val="24"/>
          <w:szCs w:val="24"/>
        </w:rPr>
      </w:pPr>
      <w:r>
        <w:rPr>
          <w:rFonts w:ascii="Arial" w:eastAsia="Arial" w:hAnsi="Arial" w:cs="Arial"/>
          <w:sz w:val="24"/>
          <w:szCs w:val="24"/>
        </w:rPr>
        <w:t xml:space="preserve">Si bien se han dado importantes avances para la prevención del reclutamiento forzado de NNAJ, avances que han incidido positivamente en la prevención de violaciones a los derechos humanos por parte de los grupos armados que hacen presencia u operan en la ciudad, tales como la implementación de la Mesa Técnica de prevención de Reclutamiento, Uso y Utilización de NNAJ, </w:t>
      </w:r>
      <w:r>
        <w:rPr>
          <w:rFonts w:ascii="Arial" w:eastAsia="Arial" w:hAnsi="Arial" w:cs="Arial"/>
          <w:b/>
          <w:sz w:val="24"/>
          <w:szCs w:val="24"/>
        </w:rPr>
        <w:t>estas acciones no han transformado factores estructurales de la violencia, tales como las múltiples vulnerabilidades de la población, las economías ilegales, la disputa por el control de las mismas; ni los mecanismos para evitar la impunidad de quienes participan de estas. De hecho, se presenta un agravamiento de la violencia, resultado de disputas territoriales y consolidación de la presencia y control de estructuras armadas en estos territorios.</w:t>
      </w:r>
    </w:p>
    <w:p w:rsidR="005E0AA9" w:rsidRDefault="0000586B">
      <w:pPr>
        <w:spacing w:line="240" w:lineRule="auto"/>
        <w:jc w:val="both"/>
        <w:rPr>
          <w:rFonts w:ascii="Arial" w:eastAsia="Arial" w:hAnsi="Arial" w:cs="Arial"/>
          <w:b/>
          <w:sz w:val="24"/>
          <w:szCs w:val="24"/>
        </w:rPr>
      </w:pPr>
      <w:r>
        <w:rPr>
          <w:rFonts w:ascii="Arial" w:eastAsia="Arial" w:hAnsi="Arial" w:cs="Arial"/>
          <w:sz w:val="24"/>
          <w:szCs w:val="24"/>
        </w:rPr>
        <w:t xml:space="preserve">Para la Defensoría de Pueblo resulta preocupante que, a pesar del tan elevado número de amenazas que se vienen presentando en las localidades, especialmente dirigidas a líderes sociales, defensores de derechos humanos, organizaciones de víctimas y miembros de la comunidad, hasta la fecha no existan resultados concretos en términos de las investigaciones sobre los autores de los panfletos. Adicionalmente, la Defensoría sostiene su preocupación por la desestimación por parte de la Fuerza Pública de la información que evidencia la presencia y el accionar de grupos armados ilegales en las localidades, a través de la articulación y cooptación de estructuras delincuenciales locales, y la disputa por el control de economías ilegales. </w:t>
      </w:r>
      <w:r>
        <w:rPr>
          <w:rFonts w:ascii="Arial" w:eastAsia="Arial" w:hAnsi="Arial" w:cs="Arial"/>
          <w:b/>
          <w:sz w:val="24"/>
          <w:szCs w:val="24"/>
        </w:rPr>
        <w:t xml:space="preserve">El desconocimiento y la negación sistemática por parte de diferentes instituciones ha repercutido en el incremento de los factores de riesgo, así ha generado consecuencias negativas en las medidas adoptadas por las demás entidades para la mitigación del riesgo. Adicionalmente, la negación institucional frente a las amenazas emitidas por grupos armados ilegales profundiza la desconfianza de la ciudadanía ante las autoridades. </w:t>
      </w:r>
    </w:p>
    <w:p w:rsidR="005E0AA9" w:rsidRPr="0062655C" w:rsidRDefault="0000586B">
      <w:pPr>
        <w:spacing w:line="240" w:lineRule="auto"/>
        <w:jc w:val="both"/>
        <w:rPr>
          <w:rFonts w:ascii="Arial" w:eastAsia="Arial" w:hAnsi="Arial" w:cs="Arial"/>
          <w:sz w:val="24"/>
          <w:szCs w:val="24"/>
        </w:rPr>
      </w:pPr>
      <w:r>
        <w:rPr>
          <w:rFonts w:ascii="Arial" w:eastAsia="Arial" w:hAnsi="Arial" w:cs="Arial"/>
          <w:sz w:val="24"/>
          <w:szCs w:val="24"/>
        </w:rPr>
        <w:t xml:space="preserve">La Defensoría del Pueblo ha manifestado también su preocupación por el aumento de casos de reclutamiento forzado, uso y utilización de NNAJ para labores ligadas a economías ilícitas por parte de los grupos armados ilegales que hacen presencia en las localidades advertidas en la Alerta Temprana No. 010-21, la concentración de las amenazas y homicidios en población joven entre 0 y 28 años, y las amenazas sobre organizaciones que intentan generar entornos protectores frente al uso, utilización y reclutamiento de esta población. Cabe señalar que este fenómeno implica también el aumento del consumo de sustancias psicoactivas y de personas en situación de calle, lo cual hace aún más preocupante el alto grado de vulnerabilidad de este grupo poblacional. </w:t>
      </w:r>
      <w:r w:rsidR="0062655C">
        <w:rPr>
          <w:rFonts w:ascii="Arial" w:eastAsia="Arial" w:hAnsi="Arial" w:cs="Arial"/>
          <w:sz w:val="24"/>
          <w:szCs w:val="24"/>
        </w:rPr>
        <w:br/>
      </w:r>
      <w:r>
        <w:rPr>
          <w:rFonts w:ascii="Arial" w:eastAsia="Arial" w:hAnsi="Arial" w:cs="Arial"/>
          <w:sz w:val="24"/>
          <w:szCs w:val="24"/>
        </w:rPr>
        <w:br/>
      </w:r>
      <w:r>
        <w:rPr>
          <w:rFonts w:ascii="Arial" w:eastAsia="Arial" w:hAnsi="Arial" w:cs="Arial"/>
          <w:b/>
          <w:sz w:val="24"/>
          <w:szCs w:val="24"/>
        </w:rPr>
        <w:t>2.5. ESTRATEGIA ENTORNOS PROTECTORES</w:t>
      </w:r>
    </w:p>
    <w:p w:rsidR="005E0AA9" w:rsidRDefault="0000586B">
      <w:pPr>
        <w:spacing w:line="240" w:lineRule="auto"/>
        <w:jc w:val="both"/>
        <w:rPr>
          <w:rFonts w:ascii="Arial" w:eastAsia="Arial" w:hAnsi="Arial" w:cs="Arial"/>
          <w:sz w:val="24"/>
          <w:szCs w:val="24"/>
        </w:rPr>
      </w:pPr>
      <w:r>
        <w:rPr>
          <w:rFonts w:ascii="Arial" w:eastAsia="Arial" w:hAnsi="Arial" w:cs="Arial"/>
          <w:sz w:val="24"/>
          <w:szCs w:val="24"/>
        </w:rPr>
        <w:t xml:space="preserve">Asimismo, la Defensoría señala que los programas como “Entornos Protectores y sus estrategias de Entornos Escolares y Parques Seguros" y “Abre tus Ojos” del Plan Integral de Seguridad, Convivencia y Justicia, pueden contribuir a mitigar el reclutamiento forzado, uso y utilización de NNAJ de las localidades advertidas, evitar su exposición a dinámicas de violencia o su vinculación a la cadena del narcotráfico. No obstante, es necesario el acompañamiento de otras acciones dirigidas a contrarrestar los factores de riesgo y vulnerabilidad que se ciernen sobre esta población. Con relación a la prevención del fenómeno de instrumentalización de NNAJ, no son claras las estrategias para prevenir y reducir esta problemática. Por tal razón, es necesaria una mayor articulación por parte de las diferentes entidades distritales, así como nacionales y de la Fuerza Pública. </w:t>
      </w:r>
    </w:p>
    <w:p w:rsidR="005E0AA9" w:rsidRDefault="0000586B">
      <w:pPr>
        <w:spacing w:line="240" w:lineRule="auto"/>
        <w:jc w:val="both"/>
        <w:rPr>
          <w:rFonts w:ascii="Arial" w:eastAsia="Arial" w:hAnsi="Arial" w:cs="Arial"/>
          <w:b/>
          <w:sz w:val="24"/>
          <w:szCs w:val="24"/>
        </w:rPr>
      </w:pPr>
      <w:r>
        <w:rPr>
          <w:rFonts w:ascii="Arial" w:eastAsia="Arial" w:hAnsi="Arial" w:cs="Arial"/>
          <w:sz w:val="24"/>
          <w:szCs w:val="24"/>
        </w:rPr>
        <w:t xml:space="preserve">Uno de los principales obstáculos que se presenta tiene que ver con el hecho de que las diversas entidades de la Administración Distrital no han logrado focalizar los barrios periféricos, en especial los asentamientos subnormales mencionados en las Alerta Tempranas No. 010-21 y No. 004 - 24 . </w:t>
      </w:r>
      <w:r>
        <w:rPr>
          <w:rFonts w:ascii="Arial" w:eastAsia="Arial" w:hAnsi="Arial" w:cs="Arial"/>
          <w:b/>
          <w:sz w:val="24"/>
          <w:szCs w:val="24"/>
        </w:rPr>
        <w:t xml:space="preserve">La Defensoría afirma que la mayoría de acciones emprendidas se orientan a la protección y atención de conductas vulneratorias una vez consumadas, pero el componente de prevención sigue siendo insuficiente. En este sentido, es necesario implementar estrategias y acciones dirigidas a transformar las dinámicas de control social y los factores de vulnerabilidad relacionadas con la capacidad de control que tienen los grupos armados ilegales en las 10 localidades de la ciudad a los que hace referencia las citadas Alertas.  </w:t>
      </w:r>
    </w:p>
    <w:p w:rsidR="005E0AA9" w:rsidRDefault="0000586B">
      <w:pPr>
        <w:spacing w:line="240" w:lineRule="auto"/>
        <w:jc w:val="both"/>
        <w:rPr>
          <w:rFonts w:ascii="Arial" w:eastAsia="Arial" w:hAnsi="Arial" w:cs="Arial"/>
          <w:sz w:val="24"/>
          <w:szCs w:val="24"/>
        </w:rPr>
      </w:pPr>
      <w:r>
        <w:rPr>
          <w:rFonts w:ascii="Arial" w:eastAsia="Arial" w:hAnsi="Arial" w:cs="Arial"/>
          <w:b/>
          <w:sz w:val="24"/>
          <w:szCs w:val="24"/>
        </w:rPr>
        <w:t>2.6. RELEVANCIA DE LA INICIATIVA NORMATIVA</w:t>
      </w:r>
      <w:r>
        <w:rPr>
          <w:rFonts w:ascii="Arial" w:eastAsia="Arial" w:hAnsi="Arial" w:cs="Arial"/>
          <w:sz w:val="24"/>
          <w:szCs w:val="24"/>
        </w:rPr>
        <w:t xml:space="preserve">  </w:t>
      </w:r>
    </w:p>
    <w:p w:rsidR="005E0AA9" w:rsidRDefault="0000586B">
      <w:pPr>
        <w:spacing w:line="240" w:lineRule="auto"/>
        <w:jc w:val="both"/>
        <w:rPr>
          <w:rFonts w:ascii="Arial" w:eastAsia="Arial" w:hAnsi="Arial" w:cs="Arial"/>
          <w:sz w:val="24"/>
          <w:szCs w:val="24"/>
        </w:rPr>
      </w:pPr>
      <w:r>
        <w:rPr>
          <w:rFonts w:ascii="Arial" w:eastAsia="Arial" w:hAnsi="Arial" w:cs="Arial"/>
          <w:sz w:val="24"/>
          <w:szCs w:val="24"/>
        </w:rPr>
        <w:t xml:space="preserve">En virtud de lo anterior, y siguiendo las recomendaciones de la Defensoría del Pueblo, en el proyecto se plantea la necesidad de contar con un sistema de información que dé cuenta de las acciones implementadas por entidades como la Fiscalía General de la Nación, el Alto Comisionado para la Paz, en su rol de secretaría técnica de la Comisión Nacional de Garantías de Seguridad y la Unidad de Atención y Reparación Integral a las Víctimas, pero, además por parte de las demás organizaciones de derechos humanos, organizaciones sin ánimo de lucro, organizaciones multilaterales, entre otras. La Defensoría señala que la falta de información detallada emitida por parte de estas entidades dificulta establecer las acciones para abordar los factores de vulnerabilidad y de riesgo en los escenarios advertidos por esta entidad.  </w:t>
      </w:r>
    </w:p>
    <w:p w:rsidR="005E0AA9" w:rsidRDefault="0000586B">
      <w:pPr>
        <w:spacing w:line="240" w:lineRule="auto"/>
        <w:jc w:val="both"/>
        <w:rPr>
          <w:rFonts w:ascii="Arial" w:eastAsia="Arial" w:hAnsi="Arial" w:cs="Arial"/>
          <w:b/>
          <w:i/>
          <w:sz w:val="24"/>
          <w:szCs w:val="24"/>
          <w:highlight w:val="white"/>
        </w:rPr>
      </w:pPr>
      <w:r>
        <w:rPr>
          <w:rFonts w:ascii="Arial" w:eastAsia="Arial" w:hAnsi="Arial" w:cs="Arial"/>
          <w:sz w:val="24"/>
          <w:szCs w:val="24"/>
        </w:rPr>
        <w:t xml:space="preserve">El Consejo de Estado se pronunció al respecto en la Sentencia 00463 de 2018 señalando que </w:t>
      </w:r>
      <w:r>
        <w:rPr>
          <w:rFonts w:ascii="Arial" w:eastAsia="Arial" w:hAnsi="Arial" w:cs="Arial"/>
          <w:i/>
          <w:sz w:val="24"/>
          <w:szCs w:val="24"/>
        </w:rPr>
        <w:t>“corresponde a las autoridades estatales que</w:t>
      </w:r>
      <w:r>
        <w:rPr>
          <w:rFonts w:ascii="Arial" w:eastAsia="Arial" w:hAnsi="Arial" w:cs="Arial"/>
          <w:i/>
          <w:sz w:val="24"/>
          <w:szCs w:val="24"/>
          <w:highlight w:val="white"/>
        </w:rPr>
        <w:t xml:space="preserve"> toman</w:t>
      </w:r>
      <w:r>
        <w:rPr>
          <w:rFonts w:ascii="Arial" w:eastAsia="Arial" w:hAnsi="Arial" w:cs="Arial"/>
          <w:i/>
          <w:sz w:val="24"/>
          <w:szCs w:val="24"/>
        </w:rPr>
        <w:t xml:space="preserve"> conocimiento de la situación de riesgo especial, identificar o valorar si la persona objeto de amenazas y hostigamientos requiere de medidas de protección o remitir a la autoridad competente para hacerlo, así como ofrecer a la persona en riesgo información oportuna sobre las medidas disponibles. La valoración sobre si una persona requiere medidas de protección y cuáles son las medidas adecuadas es una obligación que corresponde al Estado y no puede restringirse a que la propia víctima lo solicite a ‘las autoridades competentes’, ni que conozca con exactitud cuál es la autoridad en mejor capacidad de atender su situación, ya que corresponde al Estado establecer medidas de coordinación entre sus entidades y funcionarios para tal fin.”</w:t>
      </w:r>
      <w:r>
        <w:rPr>
          <w:rFonts w:ascii="Arial" w:eastAsia="Arial" w:hAnsi="Arial" w:cs="Arial"/>
          <w:sz w:val="24"/>
          <w:szCs w:val="24"/>
          <w:vertAlign w:val="superscript"/>
        </w:rPr>
        <w:footnoteReference w:id="4"/>
      </w:r>
    </w:p>
    <w:p w:rsidR="005E0AA9" w:rsidRDefault="0000586B">
      <w:pPr>
        <w:pBdr>
          <w:top w:val="nil"/>
          <w:left w:val="nil"/>
          <w:bottom w:val="nil"/>
          <w:right w:val="nil"/>
          <w:between w:val="nil"/>
        </w:pBdr>
        <w:shd w:val="clear" w:color="auto" w:fill="FFFFFF"/>
        <w:spacing w:after="300" w:line="240" w:lineRule="auto"/>
        <w:jc w:val="both"/>
        <w:rPr>
          <w:rFonts w:ascii="Arial" w:eastAsia="Arial" w:hAnsi="Arial" w:cs="Arial"/>
          <w:color w:val="000000"/>
          <w:sz w:val="24"/>
          <w:szCs w:val="24"/>
          <w:highlight w:val="white"/>
        </w:rPr>
      </w:pPr>
      <w:r>
        <w:rPr>
          <w:rFonts w:ascii="Arial" w:eastAsia="Arial" w:hAnsi="Arial" w:cs="Arial"/>
          <w:color w:val="000000"/>
          <w:sz w:val="24"/>
          <w:szCs w:val="24"/>
        </w:rPr>
        <w:t>La Fundación Ideas para la Paz</w:t>
      </w:r>
      <w:r>
        <w:rPr>
          <w:rFonts w:ascii="Arial" w:eastAsia="Arial" w:hAnsi="Arial" w:cs="Arial"/>
          <w:color w:val="000000"/>
          <w:sz w:val="24"/>
          <w:szCs w:val="24"/>
          <w:highlight w:val="white"/>
        </w:rPr>
        <w:t xml:space="preserve"> sostiene que el reclutamiento y la utilización de NNAJ es un delito persistente al que no se le ha dado la prioridad que merece en las políticas nacionales y locales que pretenden garantizar los derechos de la población más vulnerable. El Estado colombiano sigue estando en deuda con cientos de NNAJ reclutados así como con sus familias y las comunidades que viven atemorizadas.</w:t>
      </w:r>
      <w:r>
        <w:rPr>
          <w:rFonts w:ascii="Arial" w:eastAsia="Arial" w:hAnsi="Arial" w:cs="Arial"/>
          <w:color w:val="000000"/>
          <w:sz w:val="24"/>
          <w:szCs w:val="24"/>
          <w:highlight w:val="white"/>
          <w:vertAlign w:val="superscript"/>
        </w:rPr>
        <w:footnoteReference w:id="5"/>
      </w:r>
    </w:p>
    <w:p w:rsidR="005E0AA9" w:rsidRDefault="0000586B">
      <w:pPr>
        <w:spacing w:line="240" w:lineRule="auto"/>
        <w:jc w:val="both"/>
        <w:rPr>
          <w:rFonts w:ascii="Arial" w:eastAsia="Arial" w:hAnsi="Arial" w:cs="Arial"/>
          <w:b/>
          <w:i/>
          <w:sz w:val="24"/>
          <w:szCs w:val="24"/>
          <w:highlight w:val="white"/>
        </w:rPr>
      </w:pPr>
      <w:r>
        <w:rPr>
          <w:rFonts w:ascii="Arial" w:eastAsia="Arial" w:hAnsi="Arial" w:cs="Arial"/>
          <w:b/>
          <w:sz w:val="24"/>
          <w:szCs w:val="24"/>
          <w:highlight w:val="white"/>
        </w:rPr>
        <w:t xml:space="preserve">Por las razones expuestas, el proyecto de acuerdo presentado está dirigido a garantizar la prevalencia y goce efectivo de los derechos y la protección integral de NNAJ por parte del Estado, la sociedad y la familia, en el marco de los compromisos internacionales asumidos por Colombia. Asimismo, busca la garantía del derecho a la paz, como un </w:t>
      </w:r>
      <w:r>
        <w:rPr>
          <w:rFonts w:ascii="Arial" w:eastAsia="Arial" w:hAnsi="Arial" w:cs="Arial"/>
          <w:b/>
          <w:sz w:val="24"/>
          <w:szCs w:val="24"/>
        </w:rPr>
        <w:t xml:space="preserve">derecho y un deber de obligatorio cumplimiento; el derecho a la tranquilidad, </w:t>
      </w:r>
      <w:r>
        <w:rPr>
          <w:rFonts w:ascii="Arial" w:eastAsia="Arial" w:hAnsi="Arial" w:cs="Arial"/>
          <w:b/>
          <w:i/>
          <w:sz w:val="24"/>
          <w:szCs w:val="24"/>
          <w:highlight w:val="white"/>
        </w:rPr>
        <w:t>como derecho inherente a la persona, que debe ser protegido por el Estado de tal forma que permita un ambiente propicio para la convivencia humana, de manera que los individuos puedan realizar sus actividades en un ambiente sano y exento de cualquier molestia que tienda a vulnerar la paz y el sosiego.</w:t>
      </w:r>
    </w:p>
    <w:p w:rsidR="005E0AA9" w:rsidRDefault="0000586B">
      <w:pPr>
        <w:spacing w:line="240" w:lineRule="auto"/>
        <w:jc w:val="both"/>
        <w:rPr>
          <w:rFonts w:ascii="Arial" w:eastAsia="Arial" w:hAnsi="Arial" w:cs="Arial"/>
          <w:i/>
          <w:sz w:val="24"/>
          <w:szCs w:val="24"/>
          <w:highlight w:val="white"/>
        </w:rPr>
      </w:pPr>
      <w:r>
        <w:rPr>
          <w:rFonts w:ascii="Arial" w:eastAsia="Arial" w:hAnsi="Arial" w:cs="Arial"/>
          <w:sz w:val="24"/>
          <w:szCs w:val="24"/>
          <w:highlight w:val="white"/>
        </w:rPr>
        <w:t>Lo anterior en virtud por lo expuesto en la Ley 1098 de 2006 “P</w:t>
      </w:r>
      <w:r>
        <w:rPr>
          <w:rFonts w:ascii="Arial" w:eastAsia="Arial" w:hAnsi="Arial" w:cs="Arial"/>
          <w:sz w:val="24"/>
          <w:szCs w:val="24"/>
        </w:rPr>
        <w:t xml:space="preserve">or la cual se expide el Código de la Infancia y la Adolescencia”, la cual se sustenta en el principio constitutivo de Protección Integral de la niñez, definida en cinco ejes: </w:t>
      </w:r>
    </w:p>
    <w:p w:rsidR="005E0AA9" w:rsidRDefault="0000586B">
      <w:pPr>
        <w:numPr>
          <w:ilvl w:val="0"/>
          <w:numId w:val="6"/>
        </w:numPr>
        <w:pBdr>
          <w:top w:val="nil"/>
          <w:left w:val="nil"/>
          <w:bottom w:val="nil"/>
          <w:right w:val="nil"/>
          <w:between w:val="nil"/>
        </w:pBdr>
        <w:shd w:val="clear" w:color="auto" w:fill="FFFFFF"/>
        <w:spacing w:after="0" w:line="240" w:lineRule="auto"/>
        <w:jc w:val="both"/>
        <w:rPr>
          <w:rFonts w:ascii="Arial" w:eastAsia="Arial" w:hAnsi="Arial" w:cs="Arial"/>
          <w:color w:val="000000"/>
          <w:sz w:val="24"/>
          <w:szCs w:val="24"/>
          <w:highlight w:val="white"/>
        </w:rPr>
      </w:pPr>
      <w:r>
        <w:rPr>
          <w:rFonts w:ascii="Arial" w:eastAsia="Arial" w:hAnsi="Arial" w:cs="Arial"/>
          <w:color w:val="000000"/>
          <w:sz w:val="24"/>
          <w:szCs w:val="24"/>
        </w:rPr>
        <w:t xml:space="preserve">El reconocimiento de los niños, niñas y adolescentes como sujetos de derechos. </w:t>
      </w:r>
    </w:p>
    <w:p w:rsidR="005E0AA9" w:rsidRDefault="0000586B">
      <w:pPr>
        <w:numPr>
          <w:ilvl w:val="0"/>
          <w:numId w:val="6"/>
        </w:numPr>
        <w:pBdr>
          <w:top w:val="nil"/>
          <w:left w:val="nil"/>
          <w:bottom w:val="nil"/>
          <w:right w:val="nil"/>
          <w:between w:val="nil"/>
        </w:pBdr>
        <w:shd w:val="clear" w:color="auto" w:fill="FFFFFF"/>
        <w:spacing w:after="0" w:line="240" w:lineRule="auto"/>
        <w:jc w:val="both"/>
        <w:rPr>
          <w:rFonts w:ascii="Arial" w:eastAsia="Arial" w:hAnsi="Arial" w:cs="Arial"/>
          <w:color w:val="000000"/>
          <w:sz w:val="24"/>
          <w:szCs w:val="24"/>
          <w:highlight w:val="white"/>
        </w:rPr>
      </w:pPr>
      <w:r>
        <w:rPr>
          <w:rFonts w:ascii="Arial" w:eastAsia="Arial" w:hAnsi="Arial" w:cs="Arial"/>
          <w:color w:val="000000"/>
          <w:sz w:val="24"/>
          <w:szCs w:val="24"/>
        </w:rPr>
        <w:t xml:space="preserve">La garantía y cumplimiento de todos sus derechos de prestación y de protección, </w:t>
      </w:r>
    </w:p>
    <w:p w:rsidR="005E0AA9" w:rsidRDefault="0000586B">
      <w:pPr>
        <w:numPr>
          <w:ilvl w:val="0"/>
          <w:numId w:val="6"/>
        </w:numPr>
        <w:pBdr>
          <w:top w:val="nil"/>
          <w:left w:val="nil"/>
          <w:bottom w:val="nil"/>
          <w:right w:val="nil"/>
          <w:between w:val="nil"/>
        </w:pBdr>
        <w:shd w:val="clear" w:color="auto" w:fill="FFFFFF"/>
        <w:spacing w:after="0" w:line="240" w:lineRule="auto"/>
        <w:jc w:val="both"/>
        <w:rPr>
          <w:rFonts w:ascii="Arial" w:eastAsia="Arial" w:hAnsi="Arial" w:cs="Arial"/>
          <w:color w:val="000000"/>
          <w:sz w:val="24"/>
          <w:szCs w:val="24"/>
          <w:highlight w:val="white"/>
        </w:rPr>
      </w:pPr>
      <w:r>
        <w:rPr>
          <w:rFonts w:ascii="Arial" w:eastAsia="Arial" w:hAnsi="Arial" w:cs="Arial"/>
          <w:color w:val="000000"/>
          <w:sz w:val="24"/>
          <w:szCs w:val="24"/>
        </w:rPr>
        <w:t xml:space="preserve">La prevención de que dichos derechos no sean amenazados ni vulnerados. </w:t>
      </w:r>
    </w:p>
    <w:p w:rsidR="005E0AA9" w:rsidRDefault="0000586B">
      <w:pPr>
        <w:numPr>
          <w:ilvl w:val="0"/>
          <w:numId w:val="6"/>
        </w:numPr>
        <w:pBdr>
          <w:top w:val="nil"/>
          <w:left w:val="nil"/>
          <w:bottom w:val="nil"/>
          <w:right w:val="nil"/>
          <w:between w:val="nil"/>
        </w:pBdr>
        <w:shd w:val="clear" w:color="auto" w:fill="FFFFFF"/>
        <w:spacing w:after="0" w:line="240" w:lineRule="auto"/>
        <w:jc w:val="both"/>
        <w:rPr>
          <w:rFonts w:ascii="Arial" w:eastAsia="Arial" w:hAnsi="Arial" w:cs="Arial"/>
          <w:color w:val="000000"/>
          <w:sz w:val="24"/>
          <w:szCs w:val="24"/>
          <w:highlight w:val="white"/>
        </w:rPr>
      </w:pPr>
      <w:r>
        <w:rPr>
          <w:rFonts w:ascii="Arial" w:eastAsia="Arial" w:hAnsi="Arial" w:cs="Arial"/>
          <w:color w:val="000000"/>
          <w:sz w:val="24"/>
          <w:szCs w:val="24"/>
        </w:rPr>
        <w:t xml:space="preserve">El restablecimiento inmediato cuando han sido transgredidos o inobservados. </w:t>
      </w:r>
    </w:p>
    <w:p w:rsidR="005E0AA9" w:rsidRDefault="0000586B">
      <w:pPr>
        <w:numPr>
          <w:ilvl w:val="0"/>
          <w:numId w:val="6"/>
        </w:numPr>
        <w:pBdr>
          <w:top w:val="nil"/>
          <w:left w:val="nil"/>
          <w:bottom w:val="nil"/>
          <w:right w:val="nil"/>
          <w:between w:val="nil"/>
        </w:pBdr>
        <w:shd w:val="clear" w:color="auto" w:fill="FFFFFF"/>
        <w:spacing w:after="0" w:line="240" w:lineRule="auto"/>
        <w:jc w:val="both"/>
        <w:rPr>
          <w:rFonts w:ascii="Arial" w:eastAsia="Arial" w:hAnsi="Arial" w:cs="Arial"/>
          <w:color w:val="000000"/>
          <w:sz w:val="24"/>
          <w:szCs w:val="24"/>
          <w:highlight w:val="white"/>
        </w:rPr>
      </w:pPr>
      <w:r>
        <w:rPr>
          <w:rFonts w:ascii="Arial" w:eastAsia="Arial" w:hAnsi="Arial" w:cs="Arial"/>
          <w:color w:val="000000"/>
          <w:sz w:val="24"/>
          <w:szCs w:val="24"/>
        </w:rPr>
        <w:t>El diseño y ejecución de políticas públicas de infancia y adolescencia en todos los niveles territoriales.</w:t>
      </w:r>
    </w:p>
    <w:p w:rsidR="005E0AA9" w:rsidRDefault="005E0AA9">
      <w:pPr>
        <w:pBdr>
          <w:top w:val="nil"/>
          <w:left w:val="nil"/>
          <w:bottom w:val="nil"/>
          <w:right w:val="nil"/>
          <w:between w:val="nil"/>
        </w:pBdr>
        <w:shd w:val="clear" w:color="auto" w:fill="FFFFFF"/>
        <w:spacing w:after="0" w:line="240" w:lineRule="auto"/>
        <w:ind w:left="1077"/>
        <w:jc w:val="both"/>
        <w:rPr>
          <w:rFonts w:ascii="Arial" w:eastAsia="Arial" w:hAnsi="Arial" w:cs="Arial"/>
          <w:color w:val="000000"/>
          <w:sz w:val="24"/>
          <w:szCs w:val="24"/>
          <w:highlight w:val="white"/>
        </w:rPr>
      </w:pPr>
    </w:p>
    <w:p w:rsidR="005E0AA9" w:rsidRDefault="0000586B">
      <w:pPr>
        <w:pBdr>
          <w:top w:val="nil"/>
          <w:left w:val="nil"/>
          <w:bottom w:val="nil"/>
          <w:right w:val="nil"/>
          <w:between w:val="nil"/>
        </w:pBdr>
        <w:shd w:val="clear" w:color="auto" w:fill="FFFFFF"/>
        <w:spacing w:after="300"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Dichas cinco obligaciones deberán materializarse en cada uno de los municipios del país, por lo cual, es obligación del Estado Colombiano y de sus entes territoriales velar por la garantía de los derechos de los menores, en especial, en contra de toda acción individual o colectiva que vulnere sus derechos fundamentales a la vida y al desarrollo integral. </w:t>
      </w:r>
    </w:p>
    <w:p w:rsidR="005E0AA9" w:rsidRDefault="0000586B">
      <w:pPr>
        <w:pBdr>
          <w:top w:val="nil"/>
          <w:left w:val="nil"/>
          <w:bottom w:val="nil"/>
          <w:right w:val="nil"/>
          <w:between w:val="nil"/>
        </w:pBdr>
        <w:shd w:val="clear" w:color="auto" w:fill="FFFFFF"/>
        <w:spacing w:after="300" w:line="240" w:lineRule="auto"/>
        <w:jc w:val="both"/>
        <w:rPr>
          <w:rFonts w:ascii="Arial" w:eastAsia="Arial" w:hAnsi="Arial" w:cs="Arial"/>
          <w:b/>
          <w:color w:val="000000"/>
          <w:sz w:val="24"/>
          <w:szCs w:val="24"/>
        </w:rPr>
      </w:pPr>
      <w:r>
        <w:rPr>
          <w:rFonts w:ascii="Arial" w:eastAsia="Arial" w:hAnsi="Arial" w:cs="Arial"/>
          <w:b/>
          <w:sz w:val="24"/>
          <w:szCs w:val="24"/>
        </w:rPr>
        <w:t>2.7. ESTRATEGIAS DE PREVENCIÓN</w:t>
      </w:r>
    </w:p>
    <w:p w:rsidR="005E0AA9" w:rsidRDefault="0000586B">
      <w:pPr>
        <w:pBdr>
          <w:top w:val="nil"/>
          <w:left w:val="nil"/>
          <w:bottom w:val="nil"/>
          <w:right w:val="nil"/>
          <w:between w:val="nil"/>
        </w:pBdr>
        <w:shd w:val="clear" w:color="auto" w:fill="FFFFFF"/>
        <w:spacing w:before="255" w:after="255" w:line="240" w:lineRule="auto"/>
        <w:jc w:val="both"/>
        <w:rPr>
          <w:rFonts w:ascii="Arial" w:eastAsia="Arial" w:hAnsi="Arial" w:cs="Arial"/>
          <w:color w:val="000000"/>
          <w:sz w:val="24"/>
          <w:szCs w:val="24"/>
        </w:rPr>
      </w:pPr>
      <w:r>
        <w:rPr>
          <w:rFonts w:ascii="Arial" w:eastAsia="Arial" w:hAnsi="Arial" w:cs="Arial"/>
          <w:color w:val="000000"/>
          <w:sz w:val="24"/>
          <w:szCs w:val="24"/>
        </w:rPr>
        <w:t>Para algunos expertos, la prevención del fenómeno del reclutamiento en NNAJ representa varios retos, los cuales deben ser abordados con diferentes estrategias. Por un lado, es necesario implementar una estrategia comunicativa que dé cuenta que los NNAJ son sujetos de derechos, con el fin de que la comunidad tome conciencia de que esta población es sujeto de especial protección. Por otro lado, es importante garantizar el acceso a la educación, a la recreación y a la cultura, lo cual implica hacer una revisión tanto de las políticas públicas dirigidas a estos sectores, como de las estrategias contenidas en los planes de desarrollo distrital, para hacer una correcta asignación de recursos con el fin de ampliar la cobertura de programas en esta materia.</w:t>
      </w:r>
    </w:p>
    <w:p w:rsidR="005E0AA9" w:rsidRDefault="0000586B">
      <w:pPr>
        <w:pBdr>
          <w:top w:val="nil"/>
          <w:left w:val="nil"/>
          <w:bottom w:val="nil"/>
          <w:right w:val="nil"/>
          <w:between w:val="nil"/>
        </w:pBdr>
        <w:shd w:val="clear" w:color="auto" w:fill="FFFFFF"/>
        <w:spacing w:before="255" w:after="255" w:line="240" w:lineRule="auto"/>
        <w:jc w:val="both"/>
        <w:rPr>
          <w:rFonts w:ascii="Arial" w:eastAsia="Arial" w:hAnsi="Arial" w:cs="Arial"/>
          <w:color w:val="000000"/>
          <w:sz w:val="24"/>
          <w:szCs w:val="24"/>
        </w:rPr>
      </w:pPr>
      <w:r>
        <w:rPr>
          <w:rFonts w:ascii="Arial" w:eastAsia="Arial" w:hAnsi="Arial" w:cs="Arial"/>
          <w:color w:val="000000"/>
          <w:sz w:val="24"/>
          <w:szCs w:val="24"/>
        </w:rPr>
        <w:t>De ese modo, resulta necesario fortalecer los programas sociales y económicos dirigidos a las familias de las localidades y asentamiento subnormales de alto riesgo de reclutamiento, pues la pobreza, la falta de acceso a oportunidades educativas, y de oportunidades laborales productivas para los padres son un caldo de cultivo para la presencia de grupos armados al margen de la ley en determinados sectores de la ciudad.</w:t>
      </w:r>
    </w:p>
    <w:p w:rsidR="005E0AA9" w:rsidRDefault="0000586B">
      <w:pPr>
        <w:pBdr>
          <w:top w:val="nil"/>
          <w:left w:val="nil"/>
          <w:bottom w:val="nil"/>
          <w:right w:val="nil"/>
          <w:between w:val="nil"/>
        </w:pBdr>
        <w:shd w:val="clear" w:color="auto" w:fill="FFFFFF"/>
        <w:spacing w:before="255" w:after="255" w:line="240" w:lineRule="auto"/>
        <w:jc w:val="both"/>
        <w:rPr>
          <w:rFonts w:ascii="Arial" w:eastAsia="Arial" w:hAnsi="Arial" w:cs="Arial"/>
          <w:color w:val="000000"/>
          <w:sz w:val="24"/>
          <w:szCs w:val="24"/>
        </w:rPr>
      </w:pPr>
      <w:r>
        <w:rPr>
          <w:rFonts w:ascii="Arial" w:eastAsia="Arial" w:hAnsi="Arial" w:cs="Arial"/>
          <w:color w:val="000000"/>
          <w:sz w:val="24"/>
          <w:szCs w:val="24"/>
        </w:rPr>
        <w:t>Otros expertos recomiendan fortalecer los espacios escolares y que en las instituciones educativas se incluya la formación en temas de prevención, de violencia intrafamiliar y situaciones que impliquen algún tipo de violencia contra NNAJ. Asimismo, recomiendan el fortalecimiento de rutas de atención que puedan visibilizar toda la capacidad que pueda tener el Distrito para atender situaciones de riesgo de incremento de reclutamiento de los NNAJ</w:t>
      </w:r>
      <w:r>
        <w:rPr>
          <w:rFonts w:ascii="Arial" w:eastAsia="Arial" w:hAnsi="Arial" w:cs="Arial"/>
          <w:color w:val="000000"/>
          <w:sz w:val="24"/>
          <w:szCs w:val="24"/>
          <w:vertAlign w:val="superscript"/>
        </w:rPr>
        <w:footnoteReference w:id="6"/>
      </w:r>
      <w:r>
        <w:rPr>
          <w:rFonts w:ascii="Arial" w:eastAsia="Arial" w:hAnsi="Arial" w:cs="Arial"/>
          <w:color w:val="000000"/>
          <w:sz w:val="24"/>
          <w:szCs w:val="24"/>
        </w:rPr>
        <w:t>.</w:t>
      </w:r>
    </w:p>
    <w:p w:rsidR="005E0AA9" w:rsidRDefault="0000586B">
      <w:pPr>
        <w:spacing w:after="0" w:line="240" w:lineRule="auto"/>
        <w:jc w:val="both"/>
        <w:rPr>
          <w:rFonts w:ascii="Arial" w:eastAsia="Arial" w:hAnsi="Arial" w:cs="Arial"/>
          <w:sz w:val="24"/>
          <w:szCs w:val="24"/>
        </w:rPr>
      </w:pPr>
      <w:r>
        <w:rPr>
          <w:rFonts w:ascii="Arial" w:eastAsia="Arial" w:hAnsi="Arial" w:cs="Arial"/>
          <w:b/>
          <w:sz w:val="24"/>
          <w:szCs w:val="24"/>
        </w:rPr>
        <w:t>Es importante que esto, se considere como un fenómeno social y político, ya que además de ser un hecho delictivo de renta criminal, el acelerado aumento de este fenómeno está representando la manifestación de unos poderes ilegales que logran regular el orden social y regir la vida comunitaria en los territorios expuestos a las condiciones de marginalidad mencionadas anteriormente, sometiendo a las poblaciones a ser instrumentalizadas.</w:t>
      </w:r>
      <w:r>
        <w:rPr>
          <w:rFonts w:ascii="Arial" w:eastAsia="Arial" w:hAnsi="Arial" w:cs="Arial"/>
          <w:sz w:val="24"/>
          <w:szCs w:val="24"/>
        </w:rPr>
        <w:t xml:space="preserve"> También es evidente dicho orden, en la suplantación de algunas funciones esenciales de la Administración, como son la seguridad, la convivencia y la justicia, donde resulta el gobierno criminal complementando al gobierno legal en las distintas funciones y dinámicas sociales. </w:t>
      </w:r>
    </w:p>
    <w:p w:rsidR="005E0AA9" w:rsidRDefault="005E0AA9">
      <w:pPr>
        <w:spacing w:after="0" w:line="240" w:lineRule="auto"/>
        <w:jc w:val="both"/>
        <w:rPr>
          <w:rFonts w:ascii="Arial" w:eastAsia="Arial" w:hAnsi="Arial" w:cs="Arial"/>
          <w:sz w:val="24"/>
          <w:szCs w:val="24"/>
        </w:rPr>
      </w:pPr>
    </w:p>
    <w:p w:rsidR="005E0AA9" w:rsidRDefault="0000586B">
      <w:pPr>
        <w:spacing w:after="0" w:line="240" w:lineRule="auto"/>
        <w:jc w:val="both"/>
        <w:rPr>
          <w:rFonts w:ascii="Arial" w:eastAsia="Arial" w:hAnsi="Arial" w:cs="Arial"/>
          <w:sz w:val="24"/>
          <w:szCs w:val="24"/>
        </w:rPr>
      </w:pPr>
      <w:r>
        <w:rPr>
          <w:rFonts w:ascii="Arial" w:eastAsia="Arial" w:hAnsi="Arial" w:cs="Arial"/>
          <w:sz w:val="24"/>
          <w:szCs w:val="24"/>
        </w:rPr>
        <w:t>Dicho esto, es de resaltar que no solamente los operativos de la Policía, el Gaula y la  Fiscalía son suficientes para combatir este fenómeno, por lo que es fundamental la presencia de la Administración Distrital, de manera tal que se reduzcan las brechas de marginalidad en determinados sectores, se recupere la confianza en las instituciones y se promueva la participación ciudadana.</w:t>
      </w:r>
    </w:p>
    <w:p w:rsidR="005E0AA9" w:rsidRDefault="005E0AA9">
      <w:pPr>
        <w:spacing w:after="0" w:line="240" w:lineRule="auto"/>
        <w:jc w:val="both"/>
        <w:rPr>
          <w:rFonts w:ascii="Arial" w:eastAsia="Arial" w:hAnsi="Arial" w:cs="Arial"/>
          <w:sz w:val="24"/>
          <w:szCs w:val="24"/>
        </w:rPr>
      </w:pPr>
    </w:p>
    <w:p w:rsidR="005E0AA9" w:rsidRDefault="0000586B">
      <w:pPr>
        <w:spacing w:after="0" w:line="240" w:lineRule="auto"/>
        <w:jc w:val="both"/>
        <w:rPr>
          <w:rFonts w:ascii="Arial" w:eastAsia="Arial" w:hAnsi="Arial" w:cs="Arial"/>
          <w:sz w:val="24"/>
          <w:szCs w:val="24"/>
        </w:rPr>
      </w:pPr>
      <w:r>
        <w:rPr>
          <w:rFonts w:ascii="Arial" w:eastAsia="Arial" w:hAnsi="Arial" w:cs="Arial"/>
          <w:b/>
          <w:sz w:val="24"/>
          <w:szCs w:val="24"/>
        </w:rPr>
        <w:t xml:space="preserve">La participación activa de los ciudadanos en acciones integrales de trabajo territorial, coordinadas con las instituciones distritales de desarrollo social y de justicia, es esencial para fortalecer el tejido comunitario y promover la organización social. Esta colaboración estrecha no solo garantiza una mayor proximidad y acceso de la población a los servicios y recursos del Distrito, sino que al mismo tiempo, este enfoque integral y colaborativo permite abordar los problemas desde múltiples frentes, atacando no solo los síntomas de la criminalidad, sino también sus causas subyacentes, como la pobreza, la falta de educación y las oportunidades económicas limitadas. </w:t>
      </w:r>
      <w:r>
        <w:rPr>
          <w:rFonts w:ascii="Arial" w:eastAsia="Arial" w:hAnsi="Arial" w:cs="Arial"/>
          <w:sz w:val="24"/>
          <w:szCs w:val="24"/>
        </w:rPr>
        <w:t>Al empoderar a las comunidades y fomentar un ambiente de cooperación y confianza mutua, se crea un entorno menos propenso a la infiltración y el accionar de organizaciones criminales.</w:t>
      </w:r>
    </w:p>
    <w:p w:rsidR="005E0AA9" w:rsidRDefault="005E0AA9">
      <w:pPr>
        <w:spacing w:after="0" w:line="276" w:lineRule="auto"/>
        <w:jc w:val="both"/>
        <w:rPr>
          <w:rFonts w:ascii="Arial" w:eastAsia="Arial" w:hAnsi="Arial" w:cs="Arial"/>
          <w:sz w:val="24"/>
          <w:szCs w:val="24"/>
        </w:rPr>
      </w:pPr>
    </w:p>
    <w:p w:rsidR="005E0AA9" w:rsidRDefault="0000586B">
      <w:pPr>
        <w:numPr>
          <w:ilvl w:val="0"/>
          <w:numId w:val="4"/>
        </w:numPr>
        <w:pBdr>
          <w:top w:val="nil"/>
          <w:left w:val="nil"/>
          <w:bottom w:val="nil"/>
          <w:right w:val="nil"/>
          <w:between w:val="nil"/>
        </w:pBdr>
        <w:shd w:val="clear" w:color="auto" w:fill="FFFFFF"/>
        <w:spacing w:after="300" w:line="240" w:lineRule="auto"/>
        <w:jc w:val="both"/>
        <w:rPr>
          <w:rFonts w:ascii="Arial" w:eastAsia="Arial" w:hAnsi="Arial" w:cs="Arial"/>
          <w:b/>
          <w:color w:val="000000"/>
          <w:sz w:val="24"/>
          <w:szCs w:val="24"/>
          <w:highlight w:val="white"/>
        </w:rPr>
      </w:pPr>
      <w:r>
        <w:rPr>
          <w:rFonts w:ascii="Arial" w:eastAsia="Arial" w:hAnsi="Arial" w:cs="Arial"/>
          <w:b/>
          <w:color w:val="000000"/>
          <w:sz w:val="24"/>
          <w:szCs w:val="24"/>
          <w:highlight w:val="white"/>
        </w:rPr>
        <w:t>MARCO NORMATIVO</w:t>
      </w:r>
    </w:p>
    <w:p w:rsidR="005E0AA9" w:rsidRDefault="0000586B">
      <w:pPr>
        <w:pBdr>
          <w:top w:val="nil"/>
          <w:left w:val="nil"/>
          <w:bottom w:val="nil"/>
          <w:right w:val="nil"/>
          <w:between w:val="nil"/>
        </w:pBdr>
        <w:shd w:val="clear" w:color="auto" w:fill="FFFFFF"/>
        <w:spacing w:line="240" w:lineRule="auto"/>
        <w:jc w:val="both"/>
        <w:rPr>
          <w:rFonts w:ascii="Arial" w:eastAsia="Arial" w:hAnsi="Arial" w:cs="Arial"/>
          <w:b/>
          <w:color w:val="000000"/>
          <w:sz w:val="24"/>
          <w:szCs w:val="24"/>
        </w:rPr>
      </w:pPr>
      <w:r>
        <w:rPr>
          <w:rFonts w:ascii="Arial" w:eastAsia="Arial" w:hAnsi="Arial" w:cs="Arial"/>
          <w:b/>
          <w:color w:val="000000"/>
          <w:sz w:val="24"/>
          <w:szCs w:val="24"/>
        </w:rPr>
        <w:t>Internacional</w:t>
      </w:r>
    </w:p>
    <w:p w:rsidR="005E0AA9" w:rsidRDefault="0000586B">
      <w:pPr>
        <w:numPr>
          <w:ilvl w:val="0"/>
          <w:numId w:val="3"/>
        </w:numPr>
        <w:pBdr>
          <w:top w:val="nil"/>
          <w:left w:val="nil"/>
          <w:bottom w:val="nil"/>
          <w:right w:val="nil"/>
          <w:between w:val="nil"/>
        </w:pBdr>
        <w:shd w:val="clear" w:color="auto" w:fill="FFFFFF"/>
        <w:spacing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Convenio de Ginebra - Derecho Internacional Humanitario (1949) y protocolos adicionales I y II protección de las víctimas de los conflictos armados (1997) </w:t>
      </w:r>
    </w:p>
    <w:p w:rsidR="005E0AA9" w:rsidRDefault="0000586B">
      <w:pPr>
        <w:numPr>
          <w:ilvl w:val="0"/>
          <w:numId w:val="3"/>
        </w:numPr>
        <w:pBdr>
          <w:top w:val="nil"/>
          <w:left w:val="nil"/>
          <w:bottom w:val="nil"/>
          <w:right w:val="nil"/>
          <w:between w:val="nil"/>
        </w:pBdr>
        <w:shd w:val="clear" w:color="auto" w:fill="FFFFFF"/>
        <w:spacing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Convención de los Derechos del Niño (1989) - Protocolo facultativo de la Convención sobre los Derechos del Niño relativo a la participación de niños en los conflictos armados </w:t>
      </w:r>
    </w:p>
    <w:p w:rsidR="005E0AA9" w:rsidRDefault="0000586B">
      <w:pPr>
        <w:numPr>
          <w:ilvl w:val="0"/>
          <w:numId w:val="3"/>
        </w:numPr>
        <w:pBdr>
          <w:top w:val="nil"/>
          <w:left w:val="nil"/>
          <w:bottom w:val="nil"/>
          <w:right w:val="nil"/>
          <w:between w:val="nil"/>
        </w:pBdr>
        <w:shd w:val="clear" w:color="auto" w:fill="FFFFFF"/>
        <w:spacing w:line="240" w:lineRule="auto"/>
        <w:jc w:val="both"/>
        <w:rPr>
          <w:rFonts w:ascii="Arial" w:eastAsia="Arial" w:hAnsi="Arial" w:cs="Arial"/>
          <w:color w:val="000000"/>
          <w:sz w:val="24"/>
          <w:szCs w:val="24"/>
        </w:rPr>
      </w:pPr>
      <w:r>
        <w:rPr>
          <w:rFonts w:ascii="Arial" w:eastAsia="Arial" w:hAnsi="Arial" w:cs="Arial"/>
          <w:color w:val="000000"/>
          <w:sz w:val="24"/>
          <w:szCs w:val="24"/>
        </w:rPr>
        <w:t>Derecho Penal Internacional – Estatuto de Roma (1998)</w:t>
      </w:r>
    </w:p>
    <w:p w:rsidR="005E0AA9" w:rsidRDefault="0000586B">
      <w:pPr>
        <w:numPr>
          <w:ilvl w:val="0"/>
          <w:numId w:val="3"/>
        </w:numPr>
        <w:pBdr>
          <w:top w:val="nil"/>
          <w:left w:val="nil"/>
          <w:bottom w:val="nil"/>
          <w:right w:val="nil"/>
          <w:between w:val="nil"/>
        </w:pBdr>
        <w:shd w:val="clear" w:color="auto" w:fill="FFFFFF"/>
        <w:spacing w:line="240" w:lineRule="auto"/>
        <w:jc w:val="both"/>
        <w:rPr>
          <w:rFonts w:ascii="Arial" w:eastAsia="Arial" w:hAnsi="Arial" w:cs="Arial"/>
          <w:b/>
          <w:color w:val="000000"/>
          <w:sz w:val="24"/>
          <w:szCs w:val="24"/>
          <w:highlight w:val="white"/>
        </w:rPr>
      </w:pPr>
      <w:r>
        <w:rPr>
          <w:rFonts w:ascii="Arial" w:eastAsia="Arial" w:hAnsi="Arial" w:cs="Arial"/>
          <w:color w:val="000000"/>
          <w:sz w:val="24"/>
          <w:szCs w:val="24"/>
        </w:rPr>
        <w:t xml:space="preserve">Organización Internacional para las Migraciones (OIM). Programa de Atención a Niños y Niñas Desvinculados. </w:t>
      </w:r>
    </w:p>
    <w:p w:rsidR="005E0AA9" w:rsidRDefault="0000586B">
      <w:pPr>
        <w:numPr>
          <w:ilvl w:val="0"/>
          <w:numId w:val="7"/>
        </w:numPr>
        <w:pBdr>
          <w:top w:val="nil"/>
          <w:left w:val="nil"/>
          <w:bottom w:val="nil"/>
          <w:right w:val="nil"/>
          <w:between w:val="nil"/>
        </w:pBdr>
        <w:shd w:val="clear" w:color="auto" w:fill="FFFFFF"/>
        <w:spacing w:line="240" w:lineRule="auto"/>
        <w:jc w:val="both"/>
        <w:rPr>
          <w:rFonts w:ascii="Arial" w:eastAsia="Arial" w:hAnsi="Arial" w:cs="Arial"/>
          <w:sz w:val="24"/>
          <w:szCs w:val="24"/>
        </w:rPr>
      </w:pPr>
      <w:r>
        <w:rPr>
          <w:rFonts w:ascii="Arial" w:eastAsia="Arial" w:hAnsi="Arial" w:cs="Arial"/>
          <w:sz w:val="24"/>
          <w:szCs w:val="24"/>
        </w:rPr>
        <w:t xml:space="preserve">ODS 16. Promover sociedades justas, pacíficas e inclusivas, en especial la meta 16.2. Poner fin al maltrato, la explotación, la trata y todas las formas de violencia y tortura contra los niños y iii) el derecho a la paz, como un derecho y un deber de obligatorio cumplimiento, y el derecho a la tranquilidad, como derecho inherente a la persona, que debe ser protegido por el Estado de tal forma que permita un ambiente propicio para la convivencia humana, de manera que los individuos puedan realizar sus actividades en un ambiente sano y exento de cualquier molestia que tienda </w:t>
      </w:r>
      <w:r w:rsidR="0062655C">
        <w:rPr>
          <w:rFonts w:ascii="Arial" w:eastAsia="Arial" w:hAnsi="Arial" w:cs="Arial"/>
          <w:sz w:val="24"/>
          <w:szCs w:val="24"/>
        </w:rPr>
        <w:t>a vulnerar la paz y el sosiego.</w:t>
      </w:r>
    </w:p>
    <w:p w:rsidR="005E0AA9" w:rsidRDefault="0000586B">
      <w:pPr>
        <w:pBdr>
          <w:top w:val="nil"/>
          <w:left w:val="nil"/>
          <w:bottom w:val="nil"/>
          <w:right w:val="nil"/>
          <w:between w:val="nil"/>
        </w:pBdr>
        <w:shd w:val="clear" w:color="auto" w:fill="FFFFFF"/>
        <w:spacing w:line="240" w:lineRule="auto"/>
        <w:jc w:val="both"/>
        <w:rPr>
          <w:rFonts w:ascii="Arial" w:eastAsia="Arial" w:hAnsi="Arial" w:cs="Arial"/>
          <w:b/>
          <w:color w:val="000000"/>
          <w:sz w:val="24"/>
          <w:szCs w:val="24"/>
        </w:rPr>
      </w:pPr>
      <w:r>
        <w:rPr>
          <w:rFonts w:ascii="Arial" w:eastAsia="Arial" w:hAnsi="Arial" w:cs="Arial"/>
          <w:b/>
          <w:color w:val="000000"/>
          <w:sz w:val="24"/>
          <w:szCs w:val="24"/>
        </w:rPr>
        <w:t>Constitución Política de la República de Colombia</w:t>
      </w:r>
    </w:p>
    <w:p w:rsidR="005E0AA9" w:rsidRDefault="0000586B">
      <w:pPr>
        <w:numPr>
          <w:ilvl w:val="0"/>
          <w:numId w:val="3"/>
        </w:numPr>
        <w:pBdr>
          <w:top w:val="nil"/>
          <w:left w:val="nil"/>
          <w:bottom w:val="nil"/>
          <w:right w:val="nil"/>
          <w:between w:val="nil"/>
        </w:pBdr>
        <w:shd w:val="clear" w:color="auto" w:fill="FFFFFF"/>
        <w:spacing w:line="240" w:lineRule="auto"/>
        <w:jc w:val="both"/>
        <w:rPr>
          <w:rFonts w:ascii="Arial" w:eastAsia="Arial" w:hAnsi="Arial" w:cs="Arial"/>
          <w:b/>
          <w:color w:val="000000"/>
          <w:sz w:val="24"/>
          <w:szCs w:val="24"/>
        </w:rPr>
      </w:pPr>
      <w:r>
        <w:rPr>
          <w:rFonts w:ascii="Arial" w:eastAsia="Arial" w:hAnsi="Arial" w:cs="Arial"/>
          <w:color w:val="000000"/>
          <w:sz w:val="24"/>
          <w:szCs w:val="24"/>
        </w:rPr>
        <w:t>Artículo 22. La paz es un derecho y un deber de obligatorio cumplimiento.</w:t>
      </w:r>
    </w:p>
    <w:p w:rsidR="005E0AA9" w:rsidRDefault="0000586B">
      <w:pPr>
        <w:numPr>
          <w:ilvl w:val="0"/>
          <w:numId w:val="3"/>
        </w:numPr>
        <w:pBdr>
          <w:top w:val="nil"/>
          <w:left w:val="nil"/>
          <w:bottom w:val="nil"/>
          <w:right w:val="nil"/>
          <w:between w:val="nil"/>
        </w:pBdr>
        <w:shd w:val="clear" w:color="auto" w:fill="FFFFFF"/>
        <w:spacing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Artículo 44. Son derechos fundamentales de los niños: la vida, la integridad física, la salud y la seguridad social, la alimentación equilibrada, su nombre y nacionalidad, tener una familia y no ser separados de ella, el cuidado y amor, la educación y la cultura, la recreación y la libre expresión de su opinión. Serán protegidos contra toda forma de abandono, violencia física o moral, secuestro, venta, abuso sexual, explotación laboral o económica y trabajos riesgosos. Gozarán también de los demás derechos consagrados en la Constitución, en las leyes y en los tratados internacionales ratificados por Colombia. La familia, la sociedad y el Estado tienen la obligación de asistir y proteger al niño para garantizar su desarrollo armónico e integral y el ejercicio pleno de sus derechos. Cualquier persona puede exigir de la autoridad competente su cumplimiento y la sanción de los infractores. Los derechos de los niños prevalecen sobre los derechos de los demás. </w:t>
      </w:r>
    </w:p>
    <w:p w:rsidR="005E0AA9" w:rsidRDefault="0000586B">
      <w:pPr>
        <w:numPr>
          <w:ilvl w:val="0"/>
          <w:numId w:val="3"/>
        </w:numPr>
        <w:pBdr>
          <w:top w:val="nil"/>
          <w:left w:val="nil"/>
          <w:bottom w:val="nil"/>
          <w:right w:val="nil"/>
          <w:between w:val="nil"/>
        </w:pBdr>
        <w:shd w:val="clear" w:color="auto" w:fill="FFFFFF"/>
        <w:spacing w:line="240" w:lineRule="auto"/>
        <w:jc w:val="both"/>
        <w:rPr>
          <w:rFonts w:ascii="Arial" w:eastAsia="Arial" w:hAnsi="Arial" w:cs="Arial"/>
          <w:color w:val="000000"/>
          <w:sz w:val="24"/>
          <w:szCs w:val="24"/>
        </w:rPr>
      </w:pPr>
      <w:r>
        <w:rPr>
          <w:rFonts w:ascii="Arial" w:eastAsia="Arial" w:hAnsi="Arial" w:cs="Arial"/>
          <w:color w:val="000000"/>
          <w:sz w:val="24"/>
          <w:szCs w:val="24"/>
        </w:rPr>
        <w:t>Artículo 45. El adolescente tiene derecho a la protección y a la formación integral. El Estado y la sociedad garantizan la participación activa de los jóvenes en los organismos públicos y privados que tengan a cargo la protección, educación y progreso de la juventud.</w:t>
      </w:r>
    </w:p>
    <w:p w:rsidR="005E0AA9" w:rsidRDefault="0000586B">
      <w:pPr>
        <w:numPr>
          <w:ilvl w:val="0"/>
          <w:numId w:val="3"/>
        </w:numPr>
        <w:pBdr>
          <w:top w:val="nil"/>
          <w:left w:val="nil"/>
          <w:bottom w:val="nil"/>
          <w:right w:val="nil"/>
          <w:between w:val="nil"/>
        </w:pBdr>
        <w:shd w:val="clear" w:color="auto" w:fill="FFFFFF"/>
        <w:spacing w:line="240" w:lineRule="auto"/>
        <w:jc w:val="both"/>
        <w:rPr>
          <w:rFonts w:ascii="Arial" w:eastAsia="Arial" w:hAnsi="Arial" w:cs="Arial"/>
          <w:color w:val="000000"/>
          <w:sz w:val="24"/>
          <w:szCs w:val="24"/>
        </w:rPr>
      </w:pPr>
      <w:r>
        <w:rPr>
          <w:rFonts w:ascii="Arial" w:eastAsia="Arial" w:hAnsi="Arial" w:cs="Arial"/>
          <w:color w:val="000000"/>
          <w:sz w:val="24"/>
          <w:szCs w:val="24"/>
        </w:rPr>
        <w:t>Artículo. 313, Numeral 1: “Reglamentar las funciones y la eficiente prestación de los servicios a cargo del municipio”. (...)</w:t>
      </w:r>
    </w:p>
    <w:p w:rsidR="005E0AA9" w:rsidRDefault="0000586B">
      <w:pPr>
        <w:spacing w:before="280" w:after="280" w:line="240" w:lineRule="auto"/>
        <w:jc w:val="both"/>
        <w:rPr>
          <w:rFonts w:ascii="Arial" w:eastAsia="Arial" w:hAnsi="Arial" w:cs="Arial"/>
          <w:b/>
          <w:sz w:val="24"/>
          <w:szCs w:val="24"/>
        </w:rPr>
      </w:pPr>
      <w:r>
        <w:rPr>
          <w:rFonts w:ascii="Arial" w:eastAsia="Arial" w:hAnsi="Arial" w:cs="Arial"/>
          <w:b/>
          <w:sz w:val="24"/>
          <w:szCs w:val="24"/>
        </w:rPr>
        <w:t>Leyes</w:t>
      </w:r>
    </w:p>
    <w:p w:rsidR="005E0AA9" w:rsidRDefault="0000586B">
      <w:pPr>
        <w:numPr>
          <w:ilvl w:val="0"/>
          <w:numId w:val="3"/>
        </w:numPr>
        <w:pBdr>
          <w:top w:val="nil"/>
          <w:left w:val="nil"/>
          <w:bottom w:val="nil"/>
          <w:right w:val="nil"/>
          <w:between w:val="nil"/>
        </w:pBdr>
        <w:spacing w:before="280" w:after="0" w:line="240" w:lineRule="auto"/>
        <w:jc w:val="both"/>
        <w:rPr>
          <w:rFonts w:ascii="Arial" w:eastAsia="Arial" w:hAnsi="Arial" w:cs="Arial"/>
          <w:b/>
          <w:color w:val="000000"/>
          <w:sz w:val="24"/>
          <w:szCs w:val="24"/>
        </w:rPr>
      </w:pPr>
      <w:r>
        <w:rPr>
          <w:rFonts w:ascii="Arial" w:eastAsia="Arial" w:hAnsi="Arial" w:cs="Arial"/>
          <w:color w:val="000000"/>
          <w:sz w:val="24"/>
          <w:szCs w:val="24"/>
        </w:rPr>
        <w:t>Ley 12 de 1991 “Convención Internacional de los Derechos del Niño”. Artículo 39 ordena a los Estados tomar todas las medidas para promover la recuperación física y psicológica y la reintegración social de todo niño víctima de cualquier forma de abandono, explotación o abuso; tortura u otra forma de tratos o penas crueles, inhumanos o degr</w:t>
      </w:r>
      <w:r w:rsidR="0062655C">
        <w:rPr>
          <w:rFonts w:ascii="Arial" w:eastAsia="Arial" w:hAnsi="Arial" w:cs="Arial"/>
          <w:color w:val="000000"/>
          <w:sz w:val="24"/>
          <w:szCs w:val="24"/>
        </w:rPr>
        <w:t>adantes; o conflictos armados; </w:t>
      </w:r>
    </w:p>
    <w:p w:rsidR="005E0AA9" w:rsidRDefault="0000586B">
      <w:pPr>
        <w:numPr>
          <w:ilvl w:val="0"/>
          <w:numId w:val="3"/>
        </w:numPr>
        <w:pBdr>
          <w:top w:val="nil"/>
          <w:left w:val="nil"/>
          <w:bottom w:val="nil"/>
          <w:right w:val="nil"/>
          <w:between w:val="nil"/>
        </w:pBdr>
        <w:spacing w:after="0" w:line="240" w:lineRule="auto"/>
        <w:jc w:val="both"/>
        <w:rPr>
          <w:rFonts w:ascii="Arial" w:eastAsia="Arial" w:hAnsi="Arial" w:cs="Arial"/>
          <w:b/>
          <w:color w:val="000000"/>
          <w:sz w:val="24"/>
          <w:szCs w:val="24"/>
        </w:rPr>
      </w:pPr>
      <w:r>
        <w:rPr>
          <w:rFonts w:ascii="Arial" w:eastAsia="Arial" w:hAnsi="Arial" w:cs="Arial"/>
          <w:color w:val="000000"/>
          <w:sz w:val="24"/>
          <w:szCs w:val="24"/>
        </w:rPr>
        <w:t>Ley 704, “Por medio de la cual se aprueba el ‘Convenio 182 sobre la prohibición de las peores formas de trabajo infantil y la acción inmediata para su eliminación’”. Consagra como una de las peores formas de trabajo infantil el reclutamiento forzoso u obligatorio de niños menores de 18 años para utilizarlos en conflictos armados. Así mismo ordena a los Estados tomar todas las medidas para impedir ese reclutamiento y utilización, con inclusión de la adopción de las medidas legales necesarias para prohi</w:t>
      </w:r>
      <w:r w:rsidR="0062655C">
        <w:rPr>
          <w:rFonts w:ascii="Arial" w:eastAsia="Arial" w:hAnsi="Arial" w:cs="Arial"/>
          <w:color w:val="000000"/>
          <w:sz w:val="24"/>
          <w:szCs w:val="24"/>
        </w:rPr>
        <w:t>bir y castigar esas prácticas; </w:t>
      </w:r>
    </w:p>
    <w:p w:rsidR="005E0AA9" w:rsidRDefault="0000586B">
      <w:pPr>
        <w:numPr>
          <w:ilvl w:val="0"/>
          <w:numId w:val="3"/>
        </w:numPr>
        <w:pBdr>
          <w:top w:val="nil"/>
          <w:left w:val="nil"/>
          <w:bottom w:val="nil"/>
          <w:right w:val="nil"/>
          <w:between w:val="nil"/>
        </w:pBdr>
        <w:spacing w:after="0" w:line="240" w:lineRule="auto"/>
        <w:jc w:val="both"/>
        <w:rPr>
          <w:rFonts w:ascii="Arial" w:eastAsia="Arial" w:hAnsi="Arial" w:cs="Arial"/>
          <w:b/>
          <w:color w:val="000000"/>
          <w:sz w:val="24"/>
          <w:szCs w:val="24"/>
        </w:rPr>
      </w:pPr>
      <w:r>
        <w:rPr>
          <w:rFonts w:ascii="Arial" w:eastAsia="Arial" w:hAnsi="Arial" w:cs="Arial"/>
          <w:color w:val="000000"/>
          <w:sz w:val="24"/>
          <w:szCs w:val="24"/>
        </w:rPr>
        <w:t>Ley 833 de 2003, por medio de la cual se ratifica el Protocolo Facultativo a la Convención de los Derechos del Niño relativo a la Participación de Niños en los Conflictos Armados, norma que ordena a los Estados adoptar las medidas posibles para que los grupos armados distintos de las Fuerzas Armadas de un Estado no recluten o utilicen bajo ninguna circunstancia menores de 18 años</w:t>
      </w:r>
      <w:r w:rsidR="0062655C">
        <w:rPr>
          <w:rFonts w:ascii="Arial" w:eastAsia="Arial" w:hAnsi="Arial" w:cs="Arial"/>
          <w:sz w:val="24"/>
          <w:szCs w:val="24"/>
        </w:rPr>
        <w:t>.</w:t>
      </w:r>
    </w:p>
    <w:p w:rsidR="005E0AA9" w:rsidRDefault="0000586B">
      <w:pPr>
        <w:numPr>
          <w:ilvl w:val="0"/>
          <w:numId w:val="3"/>
        </w:numPr>
        <w:pBdr>
          <w:top w:val="nil"/>
          <w:left w:val="nil"/>
          <w:bottom w:val="nil"/>
          <w:right w:val="nil"/>
          <w:between w:val="nil"/>
        </w:pBdr>
        <w:spacing w:after="0" w:line="240" w:lineRule="auto"/>
        <w:jc w:val="both"/>
        <w:rPr>
          <w:rFonts w:ascii="Arial" w:eastAsia="Arial" w:hAnsi="Arial" w:cs="Arial"/>
          <w:b/>
          <w:color w:val="000000"/>
          <w:sz w:val="24"/>
          <w:szCs w:val="24"/>
        </w:rPr>
      </w:pPr>
      <w:r>
        <w:rPr>
          <w:rFonts w:ascii="Arial" w:eastAsia="Arial" w:hAnsi="Arial" w:cs="Arial"/>
          <w:color w:val="000000"/>
          <w:sz w:val="24"/>
          <w:szCs w:val="24"/>
        </w:rPr>
        <w:t>Ley 418 de 1997 Instrumentos para la búsqueda de la convivencia y la eficacia de la Justicia Política Nacional d</w:t>
      </w:r>
      <w:r w:rsidR="0062655C">
        <w:rPr>
          <w:rFonts w:ascii="Arial" w:eastAsia="Arial" w:hAnsi="Arial" w:cs="Arial"/>
          <w:color w:val="000000"/>
          <w:sz w:val="24"/>
          <w:szCs w:val="24"/>
        </w:rPr>
        <w:t>e Prevención del Reclutamiento.</w:t>
      </w:r>
      <w:r>
        <w:rPr>
          <w:rFonts w:ascii="Arial" w:eastAsia="Arial" w:hAnsi="Arial" w:cs="Arial"/>
          <w:color w:val="000000"/>
          <w:sz w:val="24"/>
          <w:szCs w:val="24"/>
        </w:rPr>
        <w:t xml:space="preserve"> </w:t>
      </w:r>
    </w:p>
    <w:p w:rsidR="005E0AA9" w:rsidRDefault="0000586B">
      <w:pPr>
        <w:numPr>
          <w:ilvl w:val="0"/>
          <w:numId w:val="3"/>
        </w:numPr>
        <w:pBdr>
          <w:top w:val="nil"/>
          <w:left w:val="nil"/>
          <w:bottom w:val="nil"/>
          <w:right w:val="nil"/>
          <w:between w:val="nil"/>
        </w:pBdr>
        <w:spacing w:after="0" w:line="240" w:lineRule="auto"/>
        <w:jc w:val="both"/>
        <w:rPr>
          <w:rFonts w:ascii="Arial" w:eastAsia="Arial" w:hAnsi="Arial" w:cs="Arial"/>
          <w:b/>
          <w:color w:val="000000"/>
          <w:sz w:val="24"/>
          <w:szCs w:val="24"/>
        </w:rPr>
      </w:pPr>
      <w:r>
        <w:rPr>
          <w:rFonts w:ascii="Arial" w:eastAsia="Arial" w:hAnsi="Arial" w:cs="Arial"/>
          <w:color w:val="000000"/>
          <w:sz w:val="24"/>
          <w:szCs w:val="24"/>
        </w:rPr>
        <w:t>Ley 1098 (2006) Código de Infancia y Adolescencia, los niños, niñas y adolescentes menores de 18 años tienen derecho a ser protegidos contra las guerras, contra los conflictos armados, contra la utilización y reclutamiento por parte de grupos armados al margen de la ley y contra las peores formas de trabajo infantil, como lo consagra el artículo 20 de la citada ley, derechos de protección que deben ser preservados en programas de atención especializada</w:t>
      </w:r>
      <w:r>
        <w:rPr>
          <w:rFonts w:ascii="Arial" w:eastAsia="Arial" w:hAnsi="Arial" w:cs="Arial"/>
          <w:sz w:val="24"/>
          <w:szCs w:val="24"/>
        </w:rPr>
        <w:t>.</w:t>
      </w:r>
    </w:p>
    <w:p w:rsidR="005E0AA9" w:rsidRDefault="0000586B">
      <w:pPr>
        <w:numPr>
          <w:ilvl w:val="0"/>
          <w:numId w:val="3"/>
        </w:numPr>
        <w:pBdr>
          <w:top w:val="nil"/>
          <w:left w:val="nil"/>
          <w:bottom w:val="nil"/>
          <w:right w:val="nil"/>
          <w:between w:val="nil"/>
        </w:pBdr>
        <w:spacing w:after="0" w:line="240" w:lineRule="auto"/>
        <w:jc w:val="both"/>
        <w:rPr>
          <w:rFonts w:ascii="Arial" w:eastAsia="Arial" w:hAnsi="Arial" w:cs="Arial"/>
          <w:b/>
          <w:color w:val="000000"/>
          <w:sz w:val="24"/>
          <w:szCs w:val="24"/>
        </w:rPr>
      </w:pPr>
      <w:r>
        <w:rPr>
          <w:rFonts w:ascii="Arial" w:eastAsia="Arial" w:hAnsi="Arial" w:cs="Arial"/>
          <w:color w:val="000000"/>
          <w:sz w:val="24"/>
          <w:szCs w:val="24"/>
        </w:rPr>
        <w:t xml:space="preserve">Ley 1448 (2011) Capítulo de niños y niñas en materia de reparación integral en medidas </w:t>
      </w:r>
      <w:r w:rsidR="0062655C">
        <w:rPr>
          <w:rFonts w:ascii="Arial" w:eastAsia="Arial" w:hAnsi="Arial" w:cs="Arial"/>
          <w:color w:val="000000"/>
          <w:sz w:val="24"/>
          <w:szCs w:val="24"/>
        </w:rPr>
        <w:t xml:space="preserve">de No repetición y reparación. </w:t>
      </w:r>
    </w:p>
    <w:p w:rsidR="005E0AA9" w:rsidRDefault="0000586B">
      <w:pPr>
        <w:numPr>
          <w:ilvl w:val="0"/>
          <w:numId w:val="3"/>
        </w:numPr>
        <w:pBdr>
          <w:top w:val="nil"/>
          <w:left w:val="nil"/>
          <w:bottom w:val="nil"/>
          <w:right w:val="nil"/>
          <w:between w:val="nil"/>
        </w:pBdr>
        <w:spacing w:line="240" w:lineRule="auto"/>
        <w:jc w:val="both"/>
        <w:rPr>
          <w:rFonts w:ascii="Arial" w:eastAsia="Arial" w:hAnsi="Arial" w:cs="Arial"/>
          <w:color w:val="000000"/>
          <w:sz w:val="24"/>
          <w:szCs w:val="24"/>
        </w:rPr>
      </w:pPr>
      <w:r>
        <w:rPr>
          <w:rFonts w:ascii="Arial" w:eastAsia="Arial" w:hAnsi="Arial" w:cs="Arial"/>
          <w:color w:val="000000"/>
          <w:sz w:val="24"/>
          <w:szCs w:val="24"/>
        </w:rPr>
        <w:t>Ley 1106 de 2006, por la cual se consagran unos instrumentos para la búsqueda de la convivencia y la eficacia de la justicia, que prorroga la vigencia de la Ley 782 de 2002 y 418 de 1997, se entiende por víctima de la violencia política toda persona menor de edad que tome parte en las hostilidades y en tal virtud se ordena al Instituto Colombiano de Bienestar Familiar poner en marcha un programa de atención especializada.</w:t>
      </w:r>
    </w:p>
    <w:p w:rsidR="005E0AA9" w:rsidRDefault="0000586B">
      <w:pPr>
        <w:numPr>
          <w:ilvl w:val="0"/>
          <w:numId w:val="3"/>
        </w:numPr>
        <w:pBdr>
          <w:top w:val="nil"/>
          <w:left w:val="nil"/>
          <w:bottom w:val="nil"/>
          <w:right w:val="nil"/>
          <w:between w:val="nil"/>
        </w:pBdr>
        <w:spacing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Ley 1719 de 2014, que Garantiza el acceso a la justicia de las víctimas de violencia sexual, en especial cuando se da con ocasión del conflicto armado. </w:t>
      </w:r>
    </w:p>
    <w:p w:rsidR="005E0AA9" w:rsidRDefault="0000586B">
      <w:pPr>
        <w:numPr>
          <w:ilvl w:val="0"/>
          <w:numId w:val="3"/>
        </w:numPr>
        <w:pBdr>
          <w:top w:val="nil"/>
          <w:left w:val="nil"/>
          <w:bottom w:val="nil"/>
          <w:right w:val="nil"/>
          <w:between w:val="nil"/>
        </w:pBdr>
        <w:spacing w:line="240" w:lineRule="auto"/>
        <w:jc w:val="both"/>
        <w:rPr>
          <w:rFonts w:ascii="Arial" w:eastAsia="Arial" w:hAnsi="Arial" w:cs="Arial"/>
          <w:color w:val="000000"/>
          <w:sz w:val="24"/>
          <w:szCs w:val="24"/>
        </w:rPr>
      </w:pPr>
      <w:r>
        <w:rPr>
          <w:rFonts w:ascii="Arial" w:eastAsia="Arial" w:hAnsi="Arial" w:cs="Arial"/>
          <w:color w:val="000000"/>
          <w:sz w:val="24"/>
          <w:szCs w:val="24"/>
        </w:rPr>
        <w:t> Ley 599 de 2000 o Código Penal consagra un tipo penal autónomo denominado reclutamiento ilícito para castigar a quien reclute menores de dieciocho (18) años o los obligue a participar directa o indirectamente en las hostilidades o en acciones armadas</w:t>
      </w:r>
      <w:r>
        <w:rPr>
          <w:rFonts w:ascii="Arial" w:eastAsia="Arial" w:hAnsi="Arial" w:cs="Arial"/>
          <w:sz w:val="24"/>
          <w:szCs w:val="24"/>
        </w:rPr>
        <w:t>.</w:t>
      </w:r>
    </w:p>
    <w:p w:rsidR="005E0AA9" w:rsidRDefault="0000586B">
      <w:pPr>
        <w:numPr>
          <w:ilvl w:val="0"/>
          <w:numId w:val="3"/>
        </w:numPr>
        <w:pBdr>
          <w:top w:val="nil"/>
          <w:left w:val="nil"/>
          <w:bottom w:val="nil"/>
          <w:right w:val="nil"/>
          <w:between w:val="nil"/>
        </w:pBdr>
        <w:spacing w:line="240" w:lineRule="auto"/>
        <w:jc w:val="both"/>
        <w:rPr>
          <w:rFonts w:ascii="Arial" w:eastAsia="Arial" w:hAnsi="Arial" w:cs="Arial"/>
          <w:color w:val="000000"/>
          <w:sz w:val="24"/>
          <w:szCs w:val="24"/>
        </w:rPr>
      </w:pPr>
      <w:r>
        <w:rPr>
          <w:rFonts w:ascii="Arial" w:eastAsia="Arial" w:hAnsi="Arial" w:cs="Arial"/>
          <w:color w:val="000000"/>
          <w:sz w:val="24"/>
          <w:szCs w:val="24"/>
        </w:rPr>
        <w:t>Ley 2294 de 2023 “Por el cual se expide el Plan Nacional de Desarrollo 2022 -2026” Colombia potencia mundial de la vida”, en el capítulo VIII - Actores Diferenciales para el Cambio, Sección II “Niñas, niños y adolescentes armados, protegidos e impulsados en sus proyectos de vida con propósito”, se encuentra el artículo 348, el cual dispone:</w:t>
      </w:r>
    </w:p>
    <w:p w:rsidR="005E0AA9" w:rsidRDefault="0000586B">
      <w:pPr>
        <w:pBdr>
          <w:top w:val="nil"/>
          <w:left w:val="nil"/>
          <w:bottom w:val="nil"/>
          <w:right w:val="nil"/>
          <w:between w:val="nil"/>
        </w:pBdr>
        <w:spacing w:line="240" w:lineRule="auto"/>
        <w:ind w:left="720"/>
        <w:jc w:val="both"/>
        <w:rPr>
          <w:rFonts w:ascii="Arial" w:eastAsia="Arial" w:hAnsi="Arial" w:cs="Arial"/>
          <w:color w:val="000000"/>
          <w:sz w:val="24"/>
          <w:szCs w:val="24"/>
        </w:rPr>
      </w:pPr>
      <w:r>
        <w:rPr>
          <w:rFonts w:ascii="Arial" w:eastAsia="Arial" w:hAnsi="Arial" w:cs="Arial"/>
          <w:color w:val="000000"/>
          <w:sz w:val="24"/>
          <w:szCs w:val="24"/>
        </w:rPr>
        <w:t xml:space="preserve">Artículo 348. Creación del programa nacional jóvenes en paz. Créese el Programa Nacional de Jóvenes en Paz, que tendrá como objeto la implementación de una ruta de atención integral a la juventud entre los 14 y 28 años de edad que se encuentra en situación de extrema pobreza, jóvenes rurales, explotación sexual, vinculados a dinámicas de criminalidad y en condiciones de vulnerabilidad en territorios afectados por la violencia y el conflicto armado que han sido históricamente marginados y excluidos, que será implementado en todo el territorio nacional, mediante acciones en los ámbitos de la salud emocional, mental y física, educación, familiar, comunitario, deporte, empleo, emprendimiento, arte, cultura y formación de la ciudadanía. </w:t>
      </w:r>
    </w:p>
    <w:p w:rsidR="005E0AA9" w:rsidRDefault="0000586B">
      <w:pPr>
        <w:pBdr>
          <w:top w:val="nil"/>
          <w:left w:val="nil"/>
          <w:bottom w:val="nil"/>
          <w:right w:val="nil"/>
          <w:between w:val="nil"/>
        </w:pBdr>
        <w:spacing w:line="240" w:lineRule="auto"/>
        <w:ind w:left="720"/>
        <w:jc w:val="both"/>
        <w:rPr>
          <w:rFonts w:ascii="Arial" w:eastAsia="Arial" w:hAnsi="Arial" w:cs="Arial"/>
          <w:color w:val="000000"/>
          <w:sz w:val="24"/>
          <w:szCs w:val="24"/>
        </w:rPr>
      </w:pPr>
      <w:r>
        <w:rPr>
          <w:rFonts w:ascii="Arial" w:eastAsia="Arial" w:hAnsi="Arial" w:cs="Arial"/>
          <w:color w:val="000000"/>
          <w:sz w:val="24"/>
          <w:szCs w:val="24"/>
        </w:rPr>
        <w:t xml:space="preserve">El Programa Nacional de Jóvenes en Paz contemplará los enfoques territoriales, de seguridad humana y justicia social, de derechos, diferencial, étnico racial, campesino, de género e interseccional, con los siguientes componentes, sin perjuicio de otros que se consideren necesarios: </w:t>
      </w:r>
    </w:p>
    <w:p w:rsidR="005E0AA9" w:rsidRDefault="0000586B">
      <w:pPr>
        <w:pBdr>
          <w:top w:val="nil"/>
          <w:left w:val="nil"/>
          <w:bottom w:val="nil"/>
          <w:right w:val="nil"/>
          <w:between w:val="nil"/>
        </w:pBdr>
        <w:spacing w:after="0" w:line="240" w:lineRule="auto"/>
        <w:ind w:left="720"/>
        <w:jc w:val="both"/>
        <w:rPr>
          <w:rFonts w:ascii="Arial" w:eastAsia="Arial" w:hAnsi="Arial" w:cs="Arial"/>
          <w:color w:val="000000"/>
          <w:sz w:val="24"/>
          <w:szCs w:val="24"/>
        </w:rPr>
      </w:pPr>
      <w:r>
        <w:rPr>
          <w:rFonts w:ascii="Arial" w:eastAsia="Arial" w:hAnsi="Arial" w:cs="Arial"/>
          <w:color w:val="000000"/>
          <w:sz w:val="24"/>
          <w:szCs w:val="24"/>
        </w:rPr>
        <w:t xml:space="preserve">1. Transferencias monetarias condicionadas al trabajo social en su municipio y a un plan de formación educativa que el Ministerio de Educación junto con las Secretarías de Educación municipales y distritales, coordinarán. </w:t>
      </w:r>
    </w:p>
    <w:p w:rsidR="005E0AA9" w:rsidRDefault="0000586B">
      <w:pPr>
        <w:pBdr>
          <w:top w:val="nil"/>
          <w:left w:val="nil"/>
          <w:bottom w:val="nil"/>
          <w:right w:val="nil"/>
          <w:between w:val="nil"/>
        </w:pBdr>
        <w:spacing w:after="0" w:line="240" w:lineRule="auto"/>
        <w:ind w:left="720"/>
        <w:jc w:val="both"/>
        <w:rPr>
          <w:rFonts w:ascii="Arial" w:eastAsia="Arial" w:hAnsi="Arial" w:cs="Arial"/>
          <w:color w:val="000000"/>
          <w:sz w:val="24"/>
          <w:szCs w:val="24"/>
        </w:rPr>
      </w:pPr>
      <w:r>
        <w:rPr>
          <w:rFonts w:ascii="Arial" w:eastAsia="Arial" w:hAnsi="Arial" w:cs="Arial"/>
          <w:color w:val="000000"/>
          <w:sz w:val="24"/>
          <w:szCs w:val="24"/>
        </w:rPr>
        <w:t xml:space="preserve">2. Acceso a mecanismos de asistencia técnica, financiación y comercialización de Iniciativas de emprendimiento individuales y/o colectivas, entre otras. </w:t>
      </w:r>
    </w:p>
    <w:p w:rsidR="005E0AA9" w:rsidRDefault="0000586B">
      <w:pPr>
        <w:pBdr>
          <w:top w:val="nil"/>
          <w:left w:val="nil"/>
          <w:bottom w:val="nil"/>
          <w:right w:val="nil"/>
          <w:between w:val="nil"/>
        </w:pBdr>
        <w:spacing w:after="0" w:line="240" w:lineRule="auto"/>
        <w:ind w:left="720"/>
        <w:jc w:val="both"/>
        <w:rPr>
          <w:rFonts w:ascii="Arial" w:eastAsia="Arial" w:hAnsi="Arial" w:cs="Arial"/>
          <w:color w:val="000000"/>
          <w:sz w:val="24"/>
          <w:szCs w:val="24"/>
        </w:rPr>
      </w:pPr>
      <w:r>
        <w:rPr>
          <w:rFonts w:ascii="Arial" w:eastAsia="Arial" w:hAnsi="Arial" w:cs="Arial"/>
          <w:color w:val="000000"/>
          <w:sz w:val="24"/>
          <w:szCs w:val="24"/>
        </w:rPr>
        <w:t xml:space="preserve">3. Acceso y gratuidad en programas de educación y formación para el trabajo. </w:t>
      </w:r>
    </w:p>
    <w:p w:rsidR="005E0AA9" w:rsidRDefault="0000586B">
      <w:pPr>
        <w:pBdr>
          <w:top w:val="nil"/>
          <w:left w:val="nil"/>
          <w:bottom w:val="nil"/>
          <w:right w:val="nil"/>
          <w:between w:val="nil"/>
        </w:pBdr>
        <w:spacing w:after="0" w:line="240" w:lineRule="auto"/>
        <w:ind w:left="720"/>
        <w:jc w:val="both"/>
        <w:rPr>
          <w:rFonts w:ascii="Arial" w:eastAsia="Arial" w:hAnsi="Arial" w:cs="Arial"/>
          <w:color w:val="000000"/>
          <w:sz w:val="24"/>
          <w:szCs w:val="24"/>
        </w:rPr>
      </w:pPr>
      <w:r>
        <w:rPr>
          <w:rFonts w:ascii="Arial" w:eastAsia="Arial" w:hAnsi="Arial" w:cs="Arial"/>
          <w:color w:val="000000"/>
          <w:sz w:val="24"/>
          <w:szCs w:val="24"/>
        </w:rPr>
        <w:t xml:space="preserve">4. Planes y programas para la garantía de derechos con énfasis en salud mental. </w:t>
      </w:r>
    </w:p>
    <w:p w:rsidR="005E0AA9" w:rsidRDefault="005E0AA9">
      <w:pPr>
        <w:pBdr>
          <w:top w:val="nil"/>
          <w:left w:val="nil"/>
          <w:bottom w:val="nil"/>
          <w:right w:val="nil"/>
          <w:between w:val="nil"/>
        </w:pBdr>
        <w:spacing w:after="0" w:line="240" w:lineRule="auto"/>
        <w:ind w:left="720"/>
        <w:jc w:val="both"/>
        <w:rPr>
          <w:rFonts w:ascii="Arial" w:eastAsia="Arial" w:hAnsi="Arial" w:cs="Arial"/>
          <w:color w:val="000000"/>
          <w:sz w:val="24"/>
          <w:szCs w:val="24"/>
        </w:rPr>
      </w:pPr>
    </w:p>
    <w:p w:rsidR="005E0AA9" w:rsidRDefault="0000586B">
      <w:pPr>
        <w:pBdr>
          <w:top w:val="nil"/>
          <w:left w:val="nil"/>
          <w:bottom w:val="nil"/>
          <w:right w:val="nil"/>
          <w:between w:val="nil"/>
        </w:pBdr>
        <w:spacing w:line="240" w:lineRule="auto"/>
        <w:ind w:left="720"/>
        <w:jc w:val="both"/>
        <w:rPr>
          <w:rFonts w:ascii="Arial" w:eastAsia="Arial" w:hAnsi="Arial" w:cs="Arial"/>
          <w:color w:val="000000"/>
          <w:sz w:val="24"/>
          <w:szCs w:val="24"/>
        </w:rPr>
      </w:pPr>
      <w:r>
        <w:rPr>
          <w:rFonts w:ascii="Arial" w:eastAsia="Arial" w:hAnsi="Arial" w:cs="Arial"/>
          <w:color w:val="000000"/>
          <w:sz w:val="24"/>
          <w:szCs w:val="24"/>
        </w:rPr>
        <w:t xml:space="preserve">La Nación asignará los recursos destinados a cubrir el Programa Nacional de Jóvenes en Paz. La proyección de recursos se hará sobre la base de las metas de cobertura y gestión que se definan. El componente de transferencias monetarias estará a cargo del Departamento Administrativo para la Prosperidad Social (DPS) en coordinación y articulación con el Departamento Nacional de Planeación, quien estará a cargo de la metodología de focalización territorial, e individual de los potenciales beneficiarios del programa. El sector comercio, trabajo, inclusión social e igualdad y equidad, deberán concurrir con la oferta necesaria para el componente de emprendimiento. El sector Trabajo y Educación, propenderán por garantizar el acceso, permanencia y graduación de los jóvenes beneficiarios del programa. El Ministerio de la Igualdad y la Equidad, realizará la articulación, coordinación, concurrencia y complementariedad de acciones que permitan superar la vulneración de derechos en la que se encuentren los jóvenes beneficiarios del programa. </w:t>
      </w:r>
    </w:p>
    <w:p w:rsidR="005E0AA9" w:rsidRDefault="0000586B">
      <w:pPr>
        <w:pBdr>
          <w:top w:val="nil"/>
          <w:left w:val="nil"/>
          <w:bottom w:val="nil"/>
          <w:right w:val="nil"/>
          <w:between w:val="nil"/>
        </w:pBdr>
        <w:spacing w:line="240" w:lineRule="auto"/>
        <w:ind w:left="720"/>
        <w:jc w:val="both"/>
        <w:rPr>
          <w:rFonts w:ascii="Arial" w:eastAsia="Arial" w:hAnsi="Arial" w:cs="Arial"/>
          <w:color w:val="000000"/>
          <w:sz w:val="24"/>
          <w:szCs w:val="24"/>
        </w:rPr>
      </w:pPr>
      <w:r>
        <w:rPr>
          <w:rFonts w:ascii="Arial" w:eastAsia="Arial" w:hAnsi="Arial" w:cs="Arial"/>
          <w:color w:val="000000"/>
          <w:sz w:val="24"/>
          <w:szCs w:val="24"/>
        </w:rPr>
        <w:t>Para el desarrollo e implementación del Programa Nacional de Jóvenes en Paz, se podrán destinar recursos de las entidades públicas del orden nacional y territorial en el marco de su autonomía, de organismos multilaterales, de cooperación internacional y de organizaciones privadas.(...)</w:t>
      </w:r>
    </w:p>
    <w:p w:rsidR="005E0AA9" w:rsidRDefault="0000586B">
      <w:pPr>
        <w:spacing w:before="280" w:after="280" w:line="240" w:lineRule="auto"/>
        <w:jc w:val="both"/>
        <w:rPr>
          <w:rFonts w:ascii="Arial" w:eastAsia="Arial" w:hAnsi="Arial" w:cs="Arial"/>
          <w:b/>
          <w:sz w:val="24"/>
          <w:szCs w:val="24"/>
        </w:rPr>
      </w:pPr>
      <w:r>
        <w:rPr>
          <w:rFonts w:ascii="Arial" w:eastAsia="Arial" w:hAnsi="Arial" w:cs="Arial"/>
          <w:b/>
          <w:sz w:val="24"/>
          <w:szCs w:val="24"/>
        </w:rPr>
        <w:t xml:space="preserve">Decretos Nacionales </w:t>
      </w:r>
    </w:p>
    <w:p w:rsidR="005E0AA9" w:rsidRDefault="0000586B">
      <w:pPr>
        <w:numPr>
          <w:ilvl w:val="0"/>
          <w:numId w:val="3"/>
        </w:numPr>
        <w:pBdr>
          <w:top w:val="nil"/>
          <w:left w:val="nil"/>
          <w:bottom w:val="nil"/>
          <w:right w:val="nil"/>
          <w:between w:val="nil"/>
        </w:pBdr>
        <w:spacing w:before="280" w:after="0" w:line="240" w:lineRule="auto"/>
        <w:jc w:val="both"/>
        <w:rPr>
          <w:rFonts w:ascii="Arial" w:eastAsia="Arial" w:hAnsi="Arial" w:cs="Arial"/>
          <w:color w:val="000000"/>
          <w:sz w:val="24"/>
          <w:szCs w:val="24"/>
        </w:rPr>
      </w:pPr>
      <w:r>
        <w:rPr>
          <w:rFonts w:ascii="Arial" w:eastAsia="Arial" w:hAnsi="Arial" w:cs="Arial"/>
          <w:color w:val="000000"/>
          <w:sz w:val="24"/>
          <w:szCs w:val="24"/>
        </w:rPr>
        <w:t>D</w:t>
      </w:r>
      <w:r>
        <w:rPr>
          <w:rFonts w:ascii="Arial" w:eastAsia="Arial" w:hAnsi="Arial" w:cs="Arial"/>
          <w:sz w:val="24"/>
          <w:szCs w:val="24"/>
        </w:rPr>
        <w:t>ecreto 4690 de 2007</w:t>
      </w:r>
      <w:r>
        <w:rPr>
          <w:rFonts w:ascii="Arial" w:eastAsia="Arial" w:hAnsi="Arial" w:cs="Arial"/>
          <w:color w:val="000000"/>
          <w:sz w:val="24"/>
          <w:szCs w:val="24"/>
        </w:rPr>
        <w:t xml:space="preserve"> “Por el cual se crea la Comisión Intersectorial para la prevención del reclutamiento y utilización de niños, niñas, adolescentes y jóvenes por grupos or</w:t>
      </w:r>
      <w:r w:rsidR="0062655C">
        <w:rPr>
          <w:rFonts w:ascii="Arial" w:eastAsia="Arial" w:hAnsi="Arial" w:cs="Arial"/>
          <w:color w:val="000000"/>
          <w:sz w:val="24"/>
          <w:szCs w:val="24"/>
        </w:rPr>
        <w:t>ganizados al margen de la ley”.</w:t>
      </w:r>
    </w:p>
    <w:p w:rsidR="005E0AA9" w:rsidRDefault="0000586B">
      <w:pPr>
        <w:numPr>
          <w:ilvl w:val="0"/>
          <w:numId w:val="3"/>
        </w:numPr>
        <w:pBdr>
          <w:top w:val="nil"/>
          <w:left w:val="nil"/>
          <w:bottom w:val="nil"/>
          <w:right w:val="nil"/>
          <w:between w:val="nil"/>
        </w:pBdr>
        <w:spacing w:after="0" w:line="240" w:lineRule="auto"/>
        <w:jc w:val="both"/>
        <w:rPr>
          <w:rFonts w:ascii="Arial" w:eastAsia="Arial" w:hAnsi="Arial" w:cs="Arial"/>
          <w:color w:val="000000"/>
          <w:sz w:val="24"/>
          <w:szCs w:val="24"/>
        </w:rPr>
      </w:pPr>
      <w:r>
        <w:rPr>
          <w:rFonts w:ascii="Arial" w:eastAsia="Arial" w:hAnsi="Arial" w:cs="Arial"/>
          <w:color w:val="000000"/>
          <w:sz w:val="24"/>
          <w:szCs w:val="24"/>
        </w:rPr>
        <w:t>D</w:t>
      </w:r>
      <w:r>
        <w:rPr>
          <w:rFonts w:ascii="Arial" w:eastAsia="Arial" w:hAnsi="Arial" w:cs="Arial"/>
          <w:sz w:val="24"/>
          <w:szCs w:val="24"/>
        </w:rPr>
        <w:t>ecreto 1434 de 2018</w:t>
      </w:r>
      <w:r>
        <w:rPr>
          <w:rFonts w:ascii="Arial" w:eastAsia="Arial" w:hAnsi="Arial" w:cs="Arial"/>
          <w:color w:val="000000"/>
          <w:sz w:val="24"/>
          <w:szCs w:val="24"/>
        </w:rPr>
        <w:t xml:space="preserve"> “Por el cual se adopta la línea de política pública de prevención del reclutamiento, utilización, uso y violencia sexual en contra de niños, niñas y adolescentes por parte de los grupos armados organizados y los grupos delincuenciales organizados.</w:t>
      </w:r>
    </w:p>
    <w:p w:rsidR="005E0AA9" w:rsidRDefault="0000586B">
      <w:pPr>
        <w:numPr>
          <w:ilvl w:val="0"/>
          <w:numId w:val="3"/>
        </w:numPr>
        <w:pBdr>
          <w:top w:val="nil"/>
          <w:left w:val="nil"/>
          <w:bottom w:val="nil"/>
          <w:right w:val="nil"/>
          <w:between w:val="nil"/>
        </w:pBdr>
        <w:spacing w:after="280" w:line="240" w:lineRule="auto"/>
        <w:jc w:val="both"/>
        <w:rPr>
          <w:rFonts w:ascii="Arial" w:eastAsia="Arial" w:hAnsi="Arial" w:cs="Arial"/>
          <w:color w:val="000000"/>
          <w:sz w:val="24"/>
          <w:szCs w:val="24"/>
        </w:rPr>
      </w:pPr>
      <w:r>
        <w:rPr>
          <w:rFonts w:ascii="Arial" w:eastAsia="Arial" w:hAnsi="Arial" w:cs="Arial"/>
          <w:color w:val="000000"/>
          <w:sz w:val="24"/>
          <w:szCs w:val="24"/>
        </w:rPr>
        <w:t>Decreto 2081 de 2019 “Por medio del cual se modifica el Decreto 4690 de 2007, modificado por los decretos 0552 de 2012, 1569 de 2016 y 1833 de 2017 por el cual se crea la Comisión Intersectorial para la prevención del reclutamiento, la utilización y la violencia sexual contra niños, niñas y adolescentes por grupos armados al margen de la ley y por grupos delictivos organizados”.</w:t>
      </w:r>
    </w:p>
    <w:p w:rsidR="005E0AA9" w:rsidRDefault="0000586B">
      <w:pPr>
        <w:spacing w:before="280" w:after="280" w:line="240" w:lineRule="auto"/>
        <w:jc w:val="both"/>
        <w:rPr>
          <w:rFonts w:ascii="Arial" w:eastAsia="Arial" w:hAnsi="Arial" w:cs="Arial"/>
          <w:b/>
          <w:sz w:val="24"/>
          <w:szCs w:val="24"/>
        </w:rPr>
      </w:pPr>
      <w:r>
        <w:rPr>
          <w:rFonts w:ascii="Arial" w:eastAsia="Arial" w:hAnsi="Arial" w:cs="Arial"/>
          <w:b/>
          <w:sz w:val="24"/>
          <w:szCs w:val="24"/>
        </w:rPr>
        <w:t>Decretos leyes</w:t>
      </w:r>
    </w:p>
    <w:p w:rsidR="005E0AA9" w:rsidRDefault="0000586B">
      <w:pPr>
        <w:numPr>
          <w:ilvl w:val="0"/>
          <w:numId w:val="3"/>
        </w:numPr>
        <w:pBdr>
          <w:top w:val="nil"/>
          <w:left w:val="nil"/>
          <w:bottom w:val="nil"/>
          <w:right w:val="nil"/>
          <w:between w:val="nil"/>
        </w:pBdr>
        <w:spacing w:before="280" w:after="0" w:line="240" w:lineRule="auto"/>
        <w:jc w:val="both"/>
        <w:rPr>
          <w:rFonts w:ascii="Arial" w:eastAsia="Arial" w:hAnsi="Arial" w:cs="Arial"/>
          <w:color w:val="000000"/>
          <w:sz w:val="24"/>
          <w:szCs w:val="24"/>
        </w:rPr>
      </w:pPr>
      <w:r>
        <w:rPr>
          <w:rFonts w:ascii="Arial" w:eastAsia="Arial" w:hAnsi="Arial" w:cs="Arial"/>
          <w:color w:val="000000"/>
          <w:sz w:val="24"/>
          <w:szCs w:val="24"/>
        </w:rPr>
        <w:t>Decreto – Ley 4633 “Por medio del cual se dictan medidas de asistencia, reparación integral y de restitución de derechos territoriales a las víctimas pertenecientes a los pueblos y comunidades indígenas.”</w:t>
      </w:r>
      <w:r>
        <w:rPr>
          <w:rFonts w:ascii="Arial" w:eastAsia="Arial" w:hAnsi="Arial" w:cs="Arial"/>
          <w:color w:val="000000"/>
          <w:sz w:val="24"/>
          <w:szCs w:val="24"/>
        </w:rPr>
        <w:br/>
      </w:r>
    </w:p>
    <w:p w:rsidR="005E0AA9" w:rsidRDefault="0000586B">
      <w:pPr>
        <w:numPr>
          <w:ilvl w:val="0"/>
          <w:numId w:val="3"/>
        </w:numPr>
        <w:pBdr>
          <w:top w:val="nil"/>
          <w:left w:val="nil"/>
          <w:bottom w:val="nil"/>
          <w:right w:val="nil"/>
          <w:between w:val="nil"/>
        </w:pBdr>
        <w:spacing w:after="280" w:line="240" w:lineRule="auto"/>
        <w:jc w:val="both"/>
        <w:rPr>
          <w:rFonts w:ascii="Arial" w:eastAsia="Arial" w:hAnsi="Arial" w:cs="Arial"/>
          <w:color w:val="000000"/>
          <w:sz w:val="24"/>
          <w:szCs w:val="24"/>
        </w:rPr>
      </w:pPr>
      <w:r>
        <w:rPr>
          <w:rFonts w:ascii="Arial" w:eastAsia="Arial" w:hAnsi="Arial" w:cs="Arial"/>
          <w:color w:val="000000"/>
          <w:sz w:val="24"/>
          <w:szCs w:val="24"/>
        </w:rPr>
        <w:t>Decreto – Ley 4635 “Por el cual se dictan medidas de asistencia, atención, reparación integral y de restitución a las víctimas pertenecientes a comunidades negras, afrocolombianas, raizales y palenqueras.”</w:t>
      </w:r>
    </w:p>
    <w:p w:rsidR="005E0AA9" w:rsidRDefault="0000586B">
      <w:pPr>
        <w:pBdr>
          <w:top w:val="nil"/>
          <w:left w:val="nil"/>
          <w:bottom w:val="nil"/>
          <w:right w:val="nil"/>
          <w:between w:val="nil"/>
        </w:pBdr>
        <w:spacing w:after="280" w:line="240" w:lineRule="auto"/>
        <w:jc w:val="both"/>
        <w:rPr>
          <w:rFonts w:ascii="Arial" w:eastAsia="Arial" w:hAnsi="Arial" w:cs="Arial"/>
          <w:b/>
          <w:sz w:val="24"/>
          <w:szCs w:val="24"/>
        </w:rPr>
      </w:pPr>
      <w:r>
        <w:rPr>
          <w:rFonts w:ascii="Arial" w:eastAsia="Arial" w:hAnsi="Arial" w:cs="Arial"/>
          <w:b/>
          <w:sz w:val="24"/>
          <w:szCs w:val="24"/>
        </w:rPr>
        <w:t xml:space="preserve">Acuerdos Distritales </w:t>
      </w:r>
    </w:p>
    <w:p w:rsidR="005E0AA9" w:rsidRDefault="0000586B">
      <w:pPr>
        <w:numPr>
          <w:ilvl w:val="0"/>
          <w:numId w:val="1"/>
        </w:numPr>
        <w:pBdr>
          <w:top w:val="nil"/>
          <w:left w:val="nil"/>
          <w:bottom w:val="nil"/>
          <w:right w:val="nil"/>
          <w:between w:val="nil"/>
        </w:pBdr>
        <w:spacing w:after="280" w:line="240" w:lineRule="auto"/>
        <w:jc w:val="both"/>
        <w:rPr>
          <w:rFonts w:ascii="Arial" w:eastAsia="Arial" w:hAnsi="Arial" w:cs="Arial"/>
          <w:sz w:val="24"/>
          <w:szCs w:val="24"/>
        </w:rPr>
      </w:pPr>
      <w:r>
        <w:rPr>
          <w:rFonts w:ascii="Arial" w:eastAsia="Arial" w:hAnsi="Arial" w:cs="Arial"/>
          <w:sz w:val="24"/>
          <w:szCs w:val="24"/>
        </w:rPr>
        <w:t>Acuerdo 927 de 2024 “Por medio del cual se adopta el plan de desarrollo económico, social, ambiental y de obras públicas del distrito capital 2024-2027 “Bogotá Camina Segura”, el cual dispone:</w:t>
      </w:r>
      <w:r>
        <w:rPr>
          <w:rFonts w:ascii="Arial" w:eastAsia="Arial" w:hAnsi="Arial" w:cs="Arial"/>
          <w:sz w:val="24"/>
          <w:szCs w:val="24"/>
        </w:rPr>
        <w:br/>
      </w:r>
      <w:r>
        <w:rPr>
          <w:rFonts w:ascii="Arial" w:eastAsia="Arial" w:hAnsi="Arial" w:cs="Arial"/>
          <w:sz w:val="24"/>
          <w:szCs w:val="24"/>
        </w:rPr>
        <w:br/>
        <w:t>12.2. Programa 17. Formación para el trabajo y acceso a oportunidades educativas. (...) Una acción complementaria se centra en atención a jóvenes con oportunidades de inclusión social y productiva brindando espacios para desarrollar su potencial; en especial procesos paralelos de orientación psicosociales e inteligencia emocional para la prevención de la deserción educativa y el desempleo, además de acciones para protegerlos de todos los riesgos a los que están expuestos como la violencia, el reclutamiento, la vinculación a bandas delictivas y los riesgos de salud física y mental, el consumo problemático de drogas, y la maternidad y paternidad tempranas, entre otros.</w:t>
      </w:r>
    </w:p>
    <w:p w:rsidR="005E0AA9" w:rsidRDefault="0000586B">
      <w:pPr>
        <w:shd w:val="clear" w:color="auto" w:fill="FFFFFF"/>
        <w:spacing w:line="240" w:lineRule="auto"/>
        <w:jc w:val="both"/>
        <w:rPr>
          <w:rFonts w:ascii="Arial" w:eastAsia="Arial" w:hAnsi="Arial" w:cs="Arial"/>
          <w:b/>
          <w:sz w:val="24"/>
          <w:szCs w:val="24"/>
        </w:rPr>
      </w:pPr>
      <w:r>
        <w:rPr>
          <w:rFonts w:ascii="Arial" w:eastAsia="Arial" w:hAnsi="Arial" w:cs="Arial"/>
          <w:b/>
          <w:sz w:val="24"/>
          <w:szCs w:val="24"/>
        </w:rPr>
        <w:t xml:space="preserve">Jurisprudencia </w:t>
      </w:r>
    </w:p>
    <w:p w:rsidR="005E0AA9" w:rsidRDefault="0000586B">
      <w:pPr>
        <w:numPr>
          <w:ilvl w:val="0"/>
          <w:numId w:val="3"/>
        </w:numPr>
        <w:spacing w:before="280" w:after="0" w:line="240" w:lineRule="auto"/>
        <w:jc w:val="both"/>
        <w:rPr>
          <w:rFonts w:ascii="Arial" w:eastAsia="Arial" w:hAnsi="Arial" w:cs="Arial"/>
          <w:highlight w:val="white"/>
        </w:rPr>
      </w:pPr>
      <w:r>
        <w:rPr>
          <w:rFonts w:ascii="Arial" w:eastAsia="Arial" w:hAnsi="Arial" w:cs="Arial"/>
          <w:sz w:val="24"/>
          <w:szCs w:val="24"/>
          <w:highlight w:val="white"/>
        </w:rPr>
        <w:t xml:space="preserve">Sentencia C-007 de 2018 al revisar la constitucionalidad de la Ley 1820 de 2016 “Por medio de la cual se dictan disposiciones sobre Amnistía, Indulto y Tratamientos Penales Espaciales y Otras Disposiciones” recordó que “las víctimas menores de edad tienen derecho a conocer la verdad, acceder a la justicia y obtener una reparación adecuada por este hecho. Pero además por su condición de vulnerabilidad al momento del reclutamiento, los órganos de la JEP deberán asumir como una obligación reforzada, la garantía de las personas menores de 18 años que se vieron obligadas a participar en el conflicto como una garantía de no repetición de una conducta que debe ser erradicada </w:t>
      </w:r>
      <w:r w:rsidR="0062655C">
        <w:rPr>
          <w:rFonts w:ascii="Arial" w:eastAsia="Arial" w:hAnsi="Arial" w:cs="Arial"/>
          <w:sz w:val="24"/>
          <w:szCs w:val="24"/>
          <w:highlight w:val="white"/>
        </w:rPr>
        <w:t>de cualquier conflicto armado.”</w:t>
      </w:r>
    </w:p>
    <w:p w:rsidR="005E0AA9" w:rsidRDefault="0000586B">
      <w:pPr>
        <w:numPr>
          <w:ilvl w:val="0"/>
          <w:numId w:val="3"/>
        </w:numPr>
        <w:spacing w:after="280" w:line="240" w:lineRule="auto"/>
        <w:jc w:val="both"/>
        <w:rPr>
          <w:rFonts w:ascii="Arial" w:eastAsia="Arial" w:hAnsi="Arial" w:cs="Arial"/>
          <w:highlight w:val="white"/>
        </w:rPr>
      </w:pPr>
      <w:r>
        <w:rPr>
          <w:rFonts w:ascii="Arial" w:eastAsia="Arial" w:hAnsi="Arial" w:cs="Arial"/>
          <w:sz w:val="24"/>
          <w:szCs w:val="24"/>
          <w:highlight w:val="white"/>
        </w:rPr>
        <w:t>Sentencia T-459 de 1998. DERECHO A LA TRANQUILIDAD-Carácter fundamental por relación con la dignidad humana. Es el derecho a la tranquilidad, inherente a la persona humana, que le permite al individuo desarrollar una vida digna y sosegada. El derecho a la tranquilidad, lo ha dicho esta Sala, asume el carácter de fundamental por su estrecha relación con la dignidad humana que, necesariamente, conlleva a la paz individual la cual es necesaria para vivir adecuadamente. Como derecho inherente a la persona, el derecho a la tranquilidad debe ser protegido por el Estado de tal forma que permita un ambiente propicio para la convivencia humana, de manera que los individuos puedan realizar sus actividades en un ambiente sano y exento de cualquier molestia que tienda a vulnerar la paz y el sosiego.</w:t>
      </w:r>
    </w:p>
    <w:p w:rsidR="005E0AA9" w:rsidRDefault="0000586B">
      <w:pPr>
        <w:spacing w:before="280" w:after="280" w:line="240" w:lineRule="auto"/>
        <w:jc w:val="both"/>
        <w:rPr>
          <w:rFonts w:ascii="Arial" w:eastAsia="Arial" w:hAnsi="Arial" w:cs="Arial"/>
          <w:b/>
          <w:sz w:val="24"/>
          <w:szCs w:val="24"/>
        </w:rPr>
      </w:pPr>
      <w:r>
        <w:rPr>
          <w:rFonts w:ascii="Arial" w:eastAsia="Arial" w:hAnsi="Arial" w:cs="Arial"/>
          <w:b/>
          <w:sz w:val="24"/>
          <w:szCs w:val="24"/>
        </w:rPr>
        <w:t>Documentos CONPES</w:t>
      </w:r>
    </w:p>
    <w:p w:rsidR="005E0AA9" w:rsidRDefault="0000586B">
      <w:pPr>
        <w:numPr>
          <w:ilvl w:val="0"/>
          <w:numId w:val="3"/>
        </w:numPr>
        <w:pBdr>
          <w:top w:val="nil"/>
          <w:left w:val="nil"/>
          <w:bottom w:val="nil"/>
          <w:right w:val="nil"/>
          <w:between w:val="nil"/>
        </w:pBdr>
        <w:spacing w:before="280" w:after="0" w:line="240" w:lineRule="auto"/>
        <w:jc w:val="both"/>
        <w:rPr>
          <w:rFonts w:ascii="Arial" w:eastAsia="Arial" w:hAnsi="Arial" w:cs="Arial"/>
          <w:b/>
          <w:color w:val="000000"/>
          <w:sz w:val="24"/>
          <w:szCs w:val="24"/>
        </w:rPr>
      </w:pPr>
      <w:r>
        <w:rPr>
          <w:rFonts w:ascii="Arial" w:eastAsia="Arial" w:hAnsi="Arial" w:cs="Arial"/>
          <w:color w:val="000000"/>
          <w:sz w:val="24"/>
          <w:szCs w:val="24"/>
        </w:rPr>
        <w:t>Documento CONPES 3673 (2010) “Política de prevención del reclutamiento y utilización de niños, niñas, adolescentes por parte de los grupos armados organizados al margen de la ley y de los grupos delictivos organizados”</w:t>
      </w:r>
    </w:p>
    <w:p w:rsidR="005E0AA9" w:rsidRDefault="0000586B">
      <w:pPr>
        <w:numPr>
          <w:ilvl w:val="0"/>
          <w:numId w:val="3"/>
        </w:numPr>
        <w:pBdr>
          <w:top w:val="nil"/>
          <w:left w:val="nil"/>
          <w:bottom w:val="nil"/>
          <w:right w:val="nil"/>
          <w:between w:val="nil"/>
        </w:pBdr>
        <w:spacing w:before="280" w:after="0" w:line="240" w:lineRule="auto"/>
        <w:jc w:val="both"/>
        <w:rPr>
          <w:rFonts w:ascii="Arial" w:eastAsia="Arial" w:hAnsi="Arial" w:cs="Arial"/>
          <w:sz w:val="24"/>
          <w:szCs w:val="24"/>
        </w:rPr>
      </w:pPr>
      <w:r>
        <w:rPr>
          <w:rFonts w:ascii="Arial" w:eastAsia="Arial" w:hAnsi="Arial" w:cs="Arial"/>
          <w:sz w:val="24"/>
          <w:szCs w:val="24"/>
        </w:rPr>
        <w:t>Documento CONPES D.C. 27 (2023) “Política Pública de Primera Infancia, Infancia y Adolescencia 2023-2033”</w:t>
      </w:r>
    </w:p>
    <w:p w:rsidR="005E0AA9" w:rsidRDefault="0000586B">
      <w:pPr>
        <w:numPr>
          <w:ilvl w:val="0"/>
          <w:numId w:val="3"/>
        </w:numPr>
        <w:pBdr>
          <w:top w:val="nil"/>
          <w:left w:val="nil"/>
          <w:bottom w:val="nil"/>
          <w:right w:val="nil"/>
          <w:between w:val="nil"/>
        </w:pBdr>
        <w:spacing w:before="280" w:after="0" w:line="240" w:lineRule="auto"/>
        <w:jc w:val="both"/>
        <w:rPr>
          <w:rFonts w:ascii="Arial" w:eastAsia="Arial" w:hAnsi="Arial" w:cs="Arial"/>
          <w:sz w:val="24"/>
          <w:szCs w:val="24"/>
        </w:rPr>
      </w:pPr>
      <w:r>
        <w:rPr>
          <w:rFonts w:ascii="Arial" w:eastAsia="Arial" w:hAnsi="Arial" w:cs="Arial"/>
          <w:sz w:val="24"/>
          <w:szCs w:val="24"/>
        </w:rPr>
        <w:t>Documento CONPES D.C. 08 (2019) “Política Pública Distrital de Juventud 2019–2030”</w:t>
      </w:r>
    </w:p>
    <w:p w:rsidR="005E0AA9" w:rsidRDefault="005E0AA9">
      <w:pPr>
        <w:pBdr>
          <w:top w:val="nil"/>
          <w:left w:val="nil"/>
          <w:bottom w:val="nil"/>
          <w:right w:val="nil"/>
          <w:between w:val="nil"/>
        </w:pBdr>
        <w:spacing w:after="0" w:line="240" w:lineRule="auto"/>
        <w:ind w:left="720"/>
        <w:jc w:val="both"/>
        <w:rPr>
          <w:rFonts w:ascii="Arial" w:eastAsia="Arial" w:hAnsi="Arial" w:cs="Arial"/>
          <w:b/>
          <w:color w:val="000000"/>
          <w:sz w:val="24"/>
          <w:szCs w:val="24"/>
        </w:rPr>
      </w:pPr>
    </w:p>
    <w:p w:rsidR="005E0AA9" w:rsidRDefault="005E0AA9">
      <w:pPr>
        <w:pBdr>
          <w:top w:val="nil"/>
          <w:left w:val="nil"/>
          <w:bottom w:val="nil"/>
          <w:right w:val="nil"/>
          <w:between w:val="nil"/>
        </w:pBdr>
        <w:spacing w:after="0" w:line="240" w:lineRule="auto"/>
        <w:ind w:left="720"/>
        <w:jc w:val="both"/>
        <w:rPr>
          <w:rFonts w:ascii="Arial" w:eastAsia="Arial" w:hAnsi="Arial" w:cs="Arial"/>
          <w:b/>
          <w:color w:val="000000"/>
          <w:sz w:val="24"/>
          <w:szCs w:val="24"/>
        </w:rPr>
      </w:pPr>
    </w:p>
    <w:p w:rsidR="005E0AA9" w:rsidRDefault="0000586B">
      <w:pPr>
        <w:numPr>
          <w:ilvl w:val="0"/>
          <w:numId w:val="4"/>
        </w:numPr>
        <w:pBdr>
          <w:top w:val="nil"/>
          <w:left w:val="nil"/>
          <w:bottom w:val="nil"/>
          <w:right w:val="nil"/>
          <w:between w:val="nil"/>
        </w:pBdr>
        <w:spacing w:line="240" w:lineRule="auto"/>
        <w:jc w:val="both"/>
        <w:rPr>
          <w:rFonts w:ascii="Arial" w:eastAsia="Arial" w:hAnsi="Arial" w:cs="Arial"/>
          <w:b/>
          <w:color w:val="000000"/>
          <w:sz w:val="24"/>
          <w:szCs w:val="24"/>
        </w:rPr>
      </w:pPr>
      <w:r>
        <w:rPr>
          <w:rFonts w:ascii="Arial" w:eastAsia="Arial" w:hAnsi="Arial" w:cs="Arial"/>
          <w:b/>
          <w:color w:val="000000"/>
          <w:sz w:val="24"/>
          <w:szCs w:val="24"/>
        </w:rPr>
        <w:t xml:space="preserve">IMPACTO FISCAL </w:t>
      </w:r>
    </w:p>
    <w:p w:rsidR="005E0AA9" w:rsidRDefault="0000586B">
      <w:pPr>
        <w:spacing w:line="240" w:lineRule="auto"/>
        <w:jc w:val="both"/>
        <w:rPr>
          <w:rFonts w:ascii="Arial" w:eastAsia="Arial" w:hAnsi="Arial" w:cs="Arial"/>
          <w:b/>
          <w:sz w:val="24"/>
          <w:szCs w:val="24"/>
        </w:rPr>
      </w:pPr>
      <w:r>
        <w:rPr>
          <w:rFonts w:ascii="Arial" w:eastAsia="Arial" w:hAnsi="Arial" w:cs="Arial"/>
          <w:sz w:val="24"/>
          <w:szCs w:val="24"/>
        </w:rPr>
        <w:t xml:space="preserve">Siguiendo lo ordenado por la Ley 819 de 2003 que establece en su Artículo 7 que “…en todo momento, el impacto fiscal de cualquier proyecto de ley, ordenanza o acuerdo, que ordene gasto o que otorgue beneficios tributarios, deberá hacerse explícito y deberá ser compatible con el Marco Fiscal de Mediano Plazo”. </w:t>
      </w:r>
      <w:r>
        <w:rPr>
          <w:rFonts w:ascii="Arial" w:eastAsia="Arial" w:hAnsi="Arial" w:cs="Arial"/>
          <w:sz w:val="24"/>
          <w:szCs w:val="24"/>
        </w:rPr>
        <w:br/>
      </w:r>
      <w:r>
        <w:rPr>
          <w:rFonts w:ascii="Arial" w:eastAsia="Arial" w:hAnsi="Arial" w:cs="Arial"/>
          <w:sz w:val="24"/>
          <w:szCs w:val="24"/>
        </w:rPr>
        <w:br/>
        <w:t xml:space="preserve">Al respecto, es de señalar que el presente Proyecto de Acuerdo no tiene impacto fiscal, dado que lo dispuesto en este Acuerdo se encuentra previsto en el citado programa 17 del Plan Distrital de Desarrollo. </w:t>
      </w:r>
      <w:r>
        <w:rPr>
          <w:rFonts w:ascii="Arial" w:eastAsia="Arial" w:hAnsi="Arial" w:cs="Arial"/>
          <w:sz w:val="24"/>
          <w:szCs w:val="24"/>
        </w:rPr>
        <w:br/>
      </w:r>
    </w:p>
    <w:p w:rsidR="005E0AA9" w:rsidRDefault="0000586B">
      <w:pPr>
        <w:numPr>
          <w:ilvl w:val="0"/>
          <w:numId w:val="4"/>
        </w:numPr>
        <w:pBdr>
          <w:top w:val="nil"/>
          <w:left w:val="nil"/>
          <w:bottom w:val="nil"/>
          <w:right w:val="nil"/>
          <w:between w:val="nil"/>
        </w:pBdr>
        <w:spacing w:line="240" w:lineRule="auto"/>
        <w:jc w:val="both"/>
        <w:rPr>
          <w:rFonts w:ascii="Arial" w:eastAsia="Arial" w:hAnsi="Arial" w:cs="Arial"/>
          <w:b/>
          <w:color w:val="000000"/>
          <w:sz w:val="24"/>
          <w:szCs w:val="24"/>
        </w:rPr>
      </w:pPr>
      <w:r>
        <w:rPr>
          <w:rFonts w:ascii="Arial" w:eastAsia="Arial" w:hAnsi="Arial" w:cs="Arial"/>
          <w:b/>
          <w:color w:val="000000"/>
          <w:sz w:val="24"/>
          <w:szCs w:val="24"/>
        </w:rPr>
        <w:t xml:space="preserve">COMPETENCIA DEL CONCEJO DE </w:t>
      </w:r>
      <w:r>
        <w:rPr>
          <w:rFonts w:ascii="Arial" w:eastAsia="Arial" w:hAnsi="Arial" w:cs="Arial"/>
          <w:b/>
          <w:sz w:val="24"/>
          <w:szCs w:val="24"/>
        </w:rPr>
        <w:t>BOGOTÁ</w:t>
      </w:r>
    </w:p>
    <w:p w:rsidR="005E0AA9" w:rsidRDefault="0000586B">
      <w:pPr>
        <w:pBdr>
          <w:top w:val="nil"/>
          <w:left w:val="nil"/>
          <w:bottom w:val="nil"/>
          <w:right w:val="nil"/>
          <w:between w:val="nil"/>
        </w:pBdr>
        <w:spacing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Es el Concejo de Bogotá competente para estudiar y aprobar el presente proyecto de acuerdo en virtud de lo establecido por el artículo 12 del Decreto Ley 1421 de 1993, principalmente en el numeral 1, que faculta a la Corporación para dictar normas, así: </w:t>
      </w:r>
    </w:p>
    <w:p w:rsidR="005E0AA9" w:rsidRDefault="0000586B">
      <w:pPr>
        <w:spacing w:line="240" w:lineRule="auto"/>
        <w:jc w:val="both"/>
        <w:rPr>
          <w:rFonts w:ascii="Arial" w:eastAsia="Arial" w:hAnsi="Arial" w:cs="Arial"/>
          <w:b/>
          <w:i/>
          <w:color w:val="000000"/>
          <w:sz w:val="24"/>
          <w:szCs w:val="24"/>
        </w:rPr>
      </w:pPr>
      <w:r>
        <w:rPr>
          <w:rFonts w:ascii="Arial" w:eastAsia="Arial" w:hAnsi="Arial" w:cs="Arial"/>
          <w:b/>
          <w:i/>
          <w:color w:val="000000"/>
          <w:sz w:val="24"/>
          <w:szCs w:val="24"/>
        </w:rPr>
        <w:tab/>
        <w:t xml:space="preserve">“DECRETO LEY 1421 de 1993 “Estatuto Orgánico de Bogotá”. </w:t>
      </w:r>
    </w:p>
    <w:p w:rsidR="005E0AA9" w:rsidRDefault="0000586B">
      <w:pPr>
        <w:spacing w:line="240" w:lineRule="auto"/>
        <w:ind w:left="708" w:right="51"/>
        <w:jc w:val="both"/>
        <w:rPr>
          <w:rFonts w:ascii="Arial" w:eastAsia="Arial" w:hAnsi="Arial" w:cs="Arial"/>
          <w:i/>
          <w:color w:val="000000"/>
          <w:sz w:val="24"/>
          <w:szCs w:val="24"/>
        </w:rPr>
      </w:pPr>
      <w:r>
        <w:rPr>
          <w:rFonts w:ascii="Arial" w:eastAsia="Arial" w:hAnsi="Arial" w:cs="Arial"/>
          <w:b/>
          <w:i/>
          <w:color w:val="000000"/>
          <w:sz w:val="24"/>
          <w:szCs w:val="24"/>
        </w:rPr>
        <w:t xml:space="preserve">Art. 12. Atribuciones. </w:t>
      </w:r>
      <w:r>
        <w:rPr>
          <w:rFonts w:ascii="Arial" w:eastAsia="Arial" w:hAnsi="Arial" w:cs="Arial"/>
          <w:i/>
          <w:color w:val="000000"/>
          <w:sz w:val="24"/>
          <w:szCs w:val="24"/>
        </w:rPr>
        <w:t>Corresponde al Concejo Distrital, de conformidad con la Constitución y la ley: (…)</w:t>
      </w:r>
    </w:p>
    <w:p w:rsidR="005E0AA9" w:rsidRDefault="0000586B">
      <w:pPr>
        <w:numPr>
          <w:ilvl w:val="0"/>
          <w:numId w:val="5"/>
        </w:numPr>
        <w:pBdr>
          <w:top w:val="nil"/>
          <w:left w:val="nil"/>
          <w:bottom w:val="nil"/>
          <w:right w:val="nil"/>
          <w:between w:val="nil"/>
        </w:pBdr>
        <w:spacing w:after="0" w:line="240" w:lineRule="auto"/>
        <w:ind w:right="51"/>
        <w:jc w:val="both"/>
        <w:rPr>
          <w:rFonts w:ascii="Arial" w:eastAsia="Arial" w:hAnsi="Arial" w:cs="Arial"/>
          <w:i/>
          <w:color w:val="000000"/>
          <w:sz w:val="24"/>
          <w:szCs w:val="24"/>
        </w:rPr>
      </w:pPr>
      <w:r>
        <w:rPr>
          <w:rFonts w:ascii="Arial" w:eastAsia="Arial" w:hAnsi="Arial" w:cs="Arial"/>
          <w:i/>
          <w:color w:val="000000"/>
          <w:sz w:val="24"/>
          <w:szCs w:val="24"/>
        </w:rPr>
        <w:t>Dictar las normas necesarias para garantizar el adecuado cumplimiento de las funciones y la eficiente prestación de los servicios a cargo del Distrito.</w:t>
      </w:r>
    </w:p>
    <w:p w:rsidR="005E0AA9" w:rsidRDefault="005E0AA9">
      <w:pPr>
        <w:spacing w:after="0" w:line="240" w:lineRule="auto"/>
        <w:ind w:left="708" w:right="51"/>
        <w:jc w:val="both"/>
        <w:rPr>
          <w:rFonts w:ascii="Arial" w:eastAsia="Arial" w:hAnsi="Arial" w:cs="Arial"/>
          <w:i/>
          <w:color w:val="000000"/>
          <w:sz w:val="24"/>
          <w:szCs w:val="24"/>
        </w:rPr>
      </w:pPr>
    </w:p>
    <w:p w:rsidR="005E0AA9" w:rsidRDefault="0000586B">
      <w:pPr>
        <w:spacing w:after="0" w:line="240" w:lineRule="auto"/>
        <w:ind w:left="708" w:right="51"/>
        <w:jc w:val="both"/>
        <w:rPr>
          <w:rFonts w:ascii="Arial" w:eastAsia="Arial" w:hAnsi="Arial" w:cs="Arial"/>
          <w:i/>
          <w:color w:val="000000"/>
          <w:sz w:val="24"/>
          <w:szCs w:val="24"/>
        </w:rPr>
      </w:pPr>
      <w:r>
        <w:rPr>
          <w:rFonts w:ascii="Arial" w:eastAsia="Arial" w:hAnsi="Arial" w:cs="Arial"/>
          <w:b/>
          <w:i/>
          <w:color w:val="000000"/>
          <w:sz w:val="24"/>
          <w:szCs w:val="24"/>
        </w:rPr>
        <w:t>Artículo 65. Iniciativa</w:t>
      </w:r>
      <w:r>
        <w:rPr>
          <w:rFonts w:ascii="Arial" w:eastAsia="Arial" w:hAnsi="Arial" w:cs="Arial"/>
          <w:i/>
          <w:color w:val="000000"/>
          <w:sz w:val="24"/>
          <w:szCs w:val="24"/>
        </w:rPr>
        <w:t>. Los proyectos de acuerdo pueden ser presentados por los Concejales individualmente a través de las Bancadas de manera integrada con otros Concejales o Bancadas y por el Alcalde Mayor, por medio de sus Secretarios, Jefes de Departamento Administrativo o Representantes Legales de las Entidades Descentralizadas.</w:t>
      </w:r>
      <w:r w:rsidR="00CB6CF4">
        <w:rPr>
          <w:rFonts w:ascii="Arial" w:eastAsia="Arial" w:hAnsi="Arial" w:cs="Arial"/>
          <w:i/>
          <w:color w:val="000000"/>
          <w:sz w:val="24"/>
          <w:szCs w:val="24"/>
        </w:rPr>
        <w:br/>
      </w:r>
    </w:p>
    <w:p w:rsidR="005E0AA9" w:rsidRDefault="005E0AA9">
      <w:pPr>
        <w:spacing w:after="0" w:line="240" w:lineRule="auto"/>
        <w:ind w:left="708" w:right="51"/>
        <w:jc w:val="both"/>
        <w:rPr>
          <w:rFonts w:ascii="Arial" w:eastAsia="Arial" w:hAnsi="Arial" w:cs="Arial"/>
          <w:i/>
          <w:sz w:val="24"/>
          <w:szCs w:val="24"/>
        </w:rPr>
      </w:pPr>
    </w:p>
    <w:p w:rsidR="005E0AA9" w:rsidRDefault="0000586B">
      <w:pPr>
        <w:spacing w:after="0" w:line="240" w:lineRule="auto"/>
        <w:rPr>
          <w:rFonts w:ascii="Arial" w:eastAsia="Arial" w:hAnsi="Arial" w:cs="Arial"/>
          <w:b/>
          <w:sz w:val="24"/>
          <w:szCs w:val="24"/>
        </w:rPr>
      </w:pPr>
      <w:r>
        <w:rPr>
          <w:rFonts w:ascii="Arial" w:eastAsia="Arial" w:hAnsi="Arial" w:cs="Arial"/>
          <w:b/>
          <w:sz w:val="24"/>
          <w:szCs w:val="24"/>
        </w:rPr>
        <w:t>6. PARTICIPACIÓN CIUDADANA</w:t>
      </w:r>
    </w:p>
    <w:p w:rsidR="005E0AA9" w:rsidRDefault="005E0AA9">
      <w:pPr>
        <w:spacing w:after="0" w:line="240" w:lineRule="auto"/>
        <w:rPr>
          <w:rFonts w:ascii="Arial" w:eastAsia="Arial" w:hAnsi="Arial" w:cs="Arial"/>
          <w:b/>
          <w:sz w:val="24"/>
          <w:szCs w:val="24"/>
        </w:rPr>
      </w:pPr>
    </w:p>
    <w:p w:rsidR="0062655C" w:rsidRDefault="0000586B">
      <w:pPr>
        <w:spacing w:after="0" w:line="240" w:lineRule="auto"/>
        <w:jc w:val="both"/>
        <w:rPr>
          <w:rFonts w:ascii="Arial" w:eastAsia="Arial" w:hAnsi="Arial" w:cs="Arial"/>
          <w:sz w:val="24"/>
          <w:szCs w:val="24"/>
        </w:rPr>
      </w:pPr>
      <w:r>
        <w:rPr>
          <w:rFonts w:ascii="Arial" w:eastAsia="Arial" w:hAnsi="Arial" w:cs="Arial"/>
          <w:sz w:val="24"/>
          <w:szCs w:val="24"/>
        </w:rPr>
        <w:t>El día 10 de abril de 2025, se realizó una  mesa de trabajo en la Comisión del Plan del Concejo de Bogotá, donde se abordaron asuntos relacionados con factores de vulnerabilidad asociados al fenómeno de reclutamiento, utilización, uso, violencia y explotación sexual contra niños, niñas, adolescentes y jóvenes (NNAJ) por parte de grupos armados organizados (GAO) y Grupos Delincuenciales Organizados (GDO) en el Distrito Capital. Allí se socializaron acciones de prevención y abordaje a dicha problemática, en cumplimiento de los principios constitucionales de protección integral a la niñez, adolescencia y juventud, en la cual se contó con la intervención de los siguientes expertos y organizaciones, quienes brindaron sus aportes y recomendaciones para la construcción de este Proyecto de Acuerdo:</w:t>
      </w:r>
    </w:p>
    <w:p w:rsidR="005E0AA9" w:rsidRDefault="005E0AA9">
      <w:pPr>
        <w:spacing w:after="0" w:line="240" w:lineRule="auto"/>
        <w:rPr>
          <w:rFonts w:ascii="Arial" w:eastAsia="Arial" w:hAnsi="Arial" w:cs="Arial"/>
          <w:sz w:val="24"/>
          <w:szCs w:val="24"/>
        </w:rPr>
      </w:pPr>
    </w:p>
    <w:sdt>
      <w:sdtPr>
        <w:tag w:val="goog_rdk_1"/>
        <w:id w:val="1027686095"/>
        <w:lock w:val="contentLocked"/>
      </w:sdtPr>
      <w:sdtEndPr/>
      <w:sdtContent>
        <w:tbl>
          <w:tblPr>
            <w:tblStyle w:val="a0"/>
            <w:tblW w:w="883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19"/>
            <w:gridCol w:w="4419"/>
          </w:tblGrid>
          <w:tr w:rsidR="005E0AA9">
            <w:tc>
              <w:tcPr>
                <w:tcW w:w="4419" w:type="dxa"/>
                <w:shd w:val="clear" w:color="auto" w:fill="D9D9D9"/>
                <w:tcMar>
                  <w:top w:w="100" w:type="dxa"/>
                  <w:left w:w="100" w:type="dxa"/>
                  <w:bottom w:w="100" w:type="dxa"/>
                  <w:right w:w="100" w:type="dxa"/>
                </w:tcMar>
              </w:tcPr>
              <w:p w:rsidR="005E0AA9" w:rsidRDefault="0000586B">
                <w:pPr>
                  <w:widowControl w:val="0"/>
                  <w:spacing w:after="0" w:line="240" w:lineRule="auto"/>
                  <w:jc w:val="center"/>
                  <w:rPr>
                    <w:rFonts w:ascii="Arial" w:eastAsia="Arial" w:hAnsi="Arial" w:cs="Arial"/>
                    <w:b/>
                    <w:sz w:val="20"/>
                    <w:szCs w:val="20"/>
                  </w:rPr>
                </w:pPr>
                <w:r>
                  <w:rPr>
                    <w:rFonts w:ascii="Arial" w:eastAsia="Arial" w:hAnsi="Arial" w:cs="Arial"/>
                    <w:b/>
                    <w:sz w:val="20"/>
                    <w:szCs w:val="20"/>
                  </w:rPr>
                  <w:t>Institución</w:t>
                </w:r>
              </w:p>
            </w:tc>
            <w:tc>
              <w:tcPr>
                <w:tcW w:w="4419" w:type="dxa"/>
                <w:shd w:val="clear" w:color="auto" w:fill="D9D9D9"/>
                <w:tcMar>
                  <w:top w:w="100" w:type="dxa"/>
                  <w:left w:w="100" w:type="dxa"/>
                  <w:bottom w:w="100" w:type="dxa"/>
                  <w:right w:w="100" w:type="dxa"/>
                </w:tcMar>
              </w:tcPr>
              <w:p w:rsidR="005E0AA9" w:rsidRDefault="0000586B">
                <w:pPr>
                  <w:widowControl w:val="0"/>
                  <w:spacing w:after="0" w:line="240" w:lineRule="auto"/>
                  <w:jc w:val="center"/>
                  <w:rPr>
                    <w:rFonts w:ascii="Arial" w:eastAsia="Arial" w:hAnsi="Arial" w:cs="Arial"/>
                    <w:b/>
                    <w:sz w:val="20"/>
                    <w:szCs w:val="20"/>
                  </w:rPr>
                </w:pPr>
                <w:r>
                  <w:rPr>
                    <w:rFonts w:ascii="Arial" w:eastAsia="Arial" w:hAnsi="Arial" w:cs="Arial"/>
                    <w:b/>
                    <w:sz w:val="20"/>
                    <w:szCs w:val="20"/>
                  </w:rPr>
                  <w:t>Personas expertas que contribuyeron en la construcción de la iniciativa</w:t>
                </w:r>
              </w:p>
            </w:tc>
          </w:tr>
          <w:tr w:rsidR="005E0AA9">
            <w:tc>
              <w:tcPr>
                <w:tcW w:w="4419" w:type="dxa"/>
                <w:shd w:val="clear" w:color="auto" w:fill="auto"/>
                <w:tcMar>
                  <w:top w:w="100" w:type="dxa"/>
                  <w:left w:w="100" w:type="dxa"/>
                  <w:bottom w:w="100" w:type="dxa"/>
                  <w:right w:w="100" w:type="dxa"/>
                </w:tcMar>
              </w:tcPr>
              <w:p w:rsidR="005E0AA9" w:rsidRDefault="0000586B">
                <w:pPr>
                  <w:widowControl w:val="0"/>
                  <w:spacing w:after="0" w:line="240" w:lineRule="auto"/>
                  <w:jc w:val="center"/>
                  <w:rPr>
                    <w:rFonts w:ascii="Arial" w:eastAsia="Arial" w:hAnsi="Arial" w:cs="Arial"/>
                    <w:sz w:val="20"/>
                    <w:szCs w:val="20"/>
                  </w:rPr>
                </w:pPr>
                <w:r>
                  <w:rPr>
                    <w:rFonts w:ascii="Arial" w:eastAsia="Arial" w:hAnsi="Arial" w:cs="Arial"/>
                    <w:sz w:val="20"/>
                    <w:szCs w:val="20"/>
                  </w:rPr>
                  <w:t>Coalición contra la vinculación de niñas, niños y jóvenes al conflicto armado en Colombia - COALICO</w:t>
                </w:r>
              </w:p>
            </w:tc>
            <w:tc>
              <w:tcPr>
                <w:tcW w:w="4419" w:type="dxa"/>
                <w:shd w:val="clear" w:color="auto" w:fill="auto"/>
                <w:tcMar>
                  <w:top w:w="100" w:type="dxa"/>
                  <w:left w:w="100" w:type="dxa"/>
                  <w:bottom w:w="100" w:type="dxa"/>
                  <w:right w:w="100" w:type="dxa"/>
                </w:tcMar>
              </w:tcPr>
              <w:p w:rsidR="005E0AA9" w:rsidRDefault="0000586B">
                <w:pPr>
                  <w:widowControl w:val="0"/>
                  <w:spacing w:after="0" w:line="240" w:lineRule="auto"/>
                  <w:jc w:val="center"/>
                  <w:rPr>
                    <w:rFonts w:ascii="Arial" w:eastAsia="Arial" w:hAnsi="Arial" w:cs="Arial"/>
                    <w:sz w:val="20"/>
                    <w:szCs w:val="20"/>
                  </w:rPr>
                </w:pPr>
                <w:r>
                  <w:rPr>
                    <w:rFonts w:ascii="Arial" w:eastAsia="Arial" w:hAnsi="Arial" w:cs="Arial"/>
                    <w:sz w:val="20"/>
                    <w:szCs w:val="20"/>
                  </w:rPr>
                  <w:t>Hilda Molano Casas</w:t>
                </w:r>
              </w:p>
            </w:tc>
          </w:tr>
          <w:tr w:rsidR="005E0AA9">
            <w:tc>
              <w:tcPr>
                <w:tcW w:w="4419" w:type="dxa"/>
                <w:shd w:val="clear" w:color="auto" w:fill="auto"/>
                <w:tcMar>
                  <w:top w:w="100" w:type="dxa"/>
                  <w:left w:w="100" w:type="dxa"/>
                  <w:bottom w:w="100" w:type="dxa"/>
                  <w:right w:w="100" w:type="dxa"/>
                </w:tcMar>
              </w:tcPr>
              <w:p w:rsidR="005E0AA9" w:rsidRDefault="0000586B">
                <w:pPr>
                  <w:widowControl w:val="0"/>
                  <w:spacing w:after="0" w:line="240" w:lineRule="auto"/>
                  <w:jc w:val="center"/>
                  <w:rPr>
                    <w:rFonts w:ascii="Arial" w:eastAsia="Arial" w:hAnsi="Arial" w:cs="Arial"/>
                    <w:sz w:val="20"/>
                    <w:szCs w:val="20"/>
                  </w:rPr>
                </w:pPr>
                <w:r>
                  <w:rPr>
                    <w:rFonts w:ascii="Arial" w:eastAsia="Arial" w:hAnsi="Arial" w:cs="Arial"/>
                    <w:sz w:val="20"/>
                    <w:szCs w:val="20"/>
                  </w:rPr>
                  <w:t>Save The Children</w:t>
                </w:r>
              </w:p>
            </w:tc>
            <w:tc>
              <w:tcPr>
                <w:tcW w:w="4419" w:type="dxa"/>
                <w:shd w:val="clear" w:color="auto" w:fill="auto"/>
                <w:tcMar>
                  <w:top w:w="100" w:type="dxa"/>
                  <w:left w:w="100" w:type="dxa"/>
                  <w:bottom w:w="100" w:type="dxa"/>
                  <w:right w:w="100" w:type="dxa"/>
                </w:tcMar>
              </w:tcPr>
              <w:p w:rsidR="005E0AA9" w:rsidRDefault="0000586B">
                <w:pPr>
                  <w:widowControl w:val="0"/>
                  <w:spacing w:after="0" w:line="240" w:lineRule="auto"/>
                  <w:jc w:val="center"/>
                  <w:rPr>
                    <w:rFonts w:ascii="Arial" w:eastAsia="Arial" w:hAnsi="Arial" w:cs="Arial"/>
                    <w:sz w:val="20"/>
                    <w:szCs w:val="20"/>
                  </w:rPr>
                </w:pPr>
                <w:r>
                  <w:rPr>
                    <w:rFonts w:ascii="Arial" w:eastAsia="Arial" w:hAnsi="Arial" w:cs="Arial"/>
                    <w:sz w:val="20"/>
                    <w:szCs w:val="20"/>
                  </w:rPr>
                  <w:t>Felipe Cortes</w:t>
                </w:r>
                <w:r>
                  <w:rPr>
                    <w:rFonts w:ascii="Arial" w:eastAsia="Arial" w:hAnsi="Arial" w:cs="Arial"/>
                    <w:sz w:val="20"/>
                    <w:szCs w:val="20"/>
                  </w:rPr>
                  <w:br/>
                  <w:t>Paola Gonzalez</w:t>
                </w:r>
              </w:p>
            </w:tc>
          </w:tr>
          <w:tr w:rsidR="005E0AA9">
            <w:tc>
              <w:tcPr>
                <w:tcW w:w="4419" w:type="dxa"/>
                <w:shd w:val="clear" w:color="auto" w:fill="auto"/>
                <w:tcMar>
                  <w:top w:w="100" w:type="dxa"/>
                  <w:left w:w="100" w:type="dxa"/>
                  <w:bottom w:w="100" w:type="dxa"/>
                  <w:right w:w="100" w:type="dxa"/>
                </w:tcMar>
              </w:tcPr>
              <w:p w:rsidR="005E0AA9" w:rsidRDefault="0000586B">
                <w:pPr>
                  <w:widowControl w:val="0"/>
                  <w:spacing w:after="0" w:line="240" w:lineRule="auto"/>
                  <w:jc w:val="center"/>
                  <w:rPr>
                    <w:rFonts w:ascii="Arial" w:eastAsia="Arial" w:hAnsi="Arial" w:cs="Arial"/>
                    <w:sz w:val="20"/>
                    <w:szCs w:val="20"/>
                  </w:rPr>
                </w:pPr>
                <w:r>
                  <w:rPr>
                    <w:rFonts w:ascii="Arial" w:eastAsia="Arial" w:hAnsi="Arial" w:cs="Arial"/>
                    <w:sz w:val="20"/>
                    <w:szCs w:val="20"/>
                  </w:rPr>
                  <w:t>Niñez Ya</w:t>
                </w:r>
              </w:p>
            </w:tc>
            <w:tc>
              <w:tcPr>
                <w:tcW w:w="4419" w:type="dxa"/>
                <w:shd w:val="clear" w:color="auto" w:fill="auto"/>
                <w:tcMar>
                  <w:top w:w="100" w:type="dxa"/>
                  <w:left w:w="100" w:type="dxa"/>
                  <w:bottom w:w="100" w:type="dxa"/>
                  <w:right w:w="100" w:type="dxa"/>
                </w:tcMar>
              </w:tcPr>
              <w:p w:rsidR="005E0AA9" w:rsidRDefault="0000586B">
                <w:pPr>
                  <w:widowControl w:val="0"/>
                  <w:spacing w:after="0" w:line="240" w:lineRule="auto"/>
                  <w:jc w:val="center"/>
                  <w:rPr>
                    <w:rFonts w:ascii="Arial" w:eastAsia="Arial" w:hAnsi="Arial" w:cs="Arial"/>
                    <w:sz w:val="20"/>
                    <w:szCs w:val="20"/>
                  </w:rPr>
                </w:pPr>
                <w:r>
                  <w:rPr>
                    <w:rFonts w:ascii="Arial" w:eastAsia="Arial" w:hAnsi="Arial" w:cs="Arial"/>
                    <w:sz w:val="20"/>
                    <w:szCs w:val="20"/>
                  </w:rPr>
                  <w:t>Juliana Cano</w:t>
                </w:r>
              </w:p>
            </w:tc>
          </w:tr>
          <w:tr w:rsidR="005E0AA9">
            <w:tc>
              <w:tcPr>
                <w:tcW w:w="4419" w:type="dxa"/>
                <w:shd w:val="clear" w:color="auto" w:fill="auto"/>
                <w:tcMar>
                  <w:top w:w="100" w:type="dxa"/>
                  <w:left w:w="100" w:type="dxa"/>
                  <w:bottom w:w="100" w:type="dxa"/>
                  <w:right w:w="100" w:type="dxa"/>
                </w:tcMar>
              </w:tcPr>
              <w:p w:rsidR="005E0AA9" w:rsidRDefault="0000586B">
                <w:pPr>
                  <w:widowControl w:val="0"/>
                  <w:spacing w:after="0" w:line="240" w:lineRule="auto"/>
                  <w:jc w:val="center"/>
                  <w:rPr>
                    <w:rFonts w:ascii="Arial" w:eastAsia="Arial" w:hAnsi="Arial" w:cs="Arial"/>
                    <w:sz w:val="20"/>
                    <w:szCs w:val="20"/>
                  </w:rPr>
                </w:pPr>
                <w:r>
                  <w:rPr>
                    <w:rFonts w:ascii="Arial" w:eastAsia="Arial" w:hAnsi="Arial" w:cs="Arial"/>
                    <w:sz w:val="20"/>
                    <w:szCs w:val="20"/>
                  </w:rPr>
                  <w:t>Fundación Acción Transformadora - ACTRA</w:t>
                </w:r>
              </w:p>
            </w:tc>
            <w:tc>
              <w:tcPr>
                <w:tcW w:w="4419" w:type="dxa"/>
                <w:shd w:val="clear" w:color="auto" w:fill="auto"/>
                <w:tcMar>
                  <w:top w:w="100" w:type="dxa"/>
                  <w:left w:w="100" w:type="dxa"/>
                  <w:bottom w:w="100" w:type="dxa"/>
                  <w:right w:w="100" w:type="dxa"/>
                </w:tcMar>
              </w:tcPr>
              <w:p w:rsidR="005E0AA9" w:rsidRDefault="0000586B">
                <w:pPr>
                  <w:widowControl w:val="0"/>
                  <w:spacing w:after="0" w:line="240" w:lineRule="auto"/>
                  <w:jc w:val="center"/>
                  <w:rPr>
                    <w:rFonts w:ascii="Arial" w:eastAsia="Arial" w:hAnsi="Arial" w:cs="Arial"/>
                    <w:sz w:val="20"/>
                    <w:szCs w:val="20"/>
                  </w:rPr>
                </w:pPr>
                <w:r>
                  <w:rPr>
                    <w:rFonts w:ascii="Arial" w:eastAsia="Arial" w:hAnsi="Arial" w:cs="Arial"/>
                    <w:sz w:val="20"/>
                    <w:szCs w:val="20"/>
                  </w:rPr>
                  <w:t>Laura Castro</w:t>
                </w:r>
              </w:p>
            </w:tc>
          </w:tr>
        </w:tbl>
      </w:sdtContent>
    </w:sdt>
    <w:p w:rsidR="005E0AA9" w:rsidRDefault="005E0AA9">
      <w:pPr>
        <w:spacing w:after="0" w:line="240" w:lineRule="auto"/>
        <w:rPr>
          <w:rFonts w:ascii="Arial" w:eastAsia="Arial" w:hAnsi="Arial" w:cs="Arial"/>
          <w:sz w:val="24"/>
          <w:szCs w:val="24"/>
        </w:rPr>
      </w:pPr>
    </w:p>
    <w:p w:rsidR="005E0AA9" w:rsidRDefault="0000586B">
      <w:pPr>
        <w:spacing w:after="0" w:line="240" w:lineRule="auto"/>
        <w:jc w:val="both"/>
        <w:rPr>
          <w:rFonts w:ascii="Arial" w:eastAsia="Arial" w:hAnsi="Arial" w:cs="Arial"/>
          <w:sz w:val="24"/>
          <w:szCs w:val="24"/>
        </w:rPr>
      </w:pPr>
      <w:r>
        <w:rPr>
          <w:rFonts w:ascii="Arial" w:eastAsia="Arial" w:hAnsi="Arial" w:cs="Arial"/>
          <w:sz w:val="24"/>
          <w:szCs w:val="24"/>
        </w:rPr>
        <w:t xml:space="preserve">Entre otros actores relevantes en esta mesa de trabajo, es preciso indicar que se contó con la participación activa de concejales miembros de la bancada de la niñez. </w:t>
      </w:r>
    </w:p>
    <w:p w:rsidR="005E0AA9" w:rsidRDefault="005E0AA9">
      <w:pPr>
        <w:spacing w:after="0" w:line="240" w:lineRule="auto"/>
        <w:jc w:val="both"/>
        <w:rPr>
          <w:rFonts w:ascii="Arial" w:eastAsia="Arial" w:hAnsi="Arial" w:cs="Arial"/>
          <w:sz w:val="24"/>
          <w:szCs w:val="24"/>
        </w:rPr>
      </w:pPr>
    </w:p>
    <w:p w:rsidR="005E0AA9" w:rsidRDefault="0000586B">
      <w:pPr>
        <w:spacing w:after="0" w:line="240" w:lineRule="auto"/>
        <w:jc w:val="both"/>
        <w:rPr>
          <w:rFonts w:ascii="Arial" w:eastAsia="Arial" w:hAnsi="Arial" w:cs="Arial"/>
          <w:sz w:val="24"/>
          <w:szCs w:val="24"/>
        </w:rPr>
      </w:pPr>
      <w:r>
        <w:rPr>
          <w:rFonts w:ascii="Arial" w:eastAsia="Arial" w:hAnsi="Arial" w:cs="Arial"/>
          <w:sz w:val="24"/>
          <w:szCs w:val="24"/>
        </w:rPr>
        <w:t>Es importante destacar que en este encuentro los invitados expertos resaltaron como puntos esenciales los siguientes:</w:t>
      </w:r>
    </w:p>
    <w:p w:rsidR="005E0AA9" w:rsidRDefault="005E0AA9">
      <w:pPr>
        <w:spacing w:after="0" w:line="240" w:lineRule="auto"/>
        <w:jc w:val="both"/>
        <w:rPr>
          <w:rFonts w:ascii="Arial" w:eastAsia="Arial" w:hAnsi="Arial" w:cs="Arial"/>
          <w:sz w:val="24"/>
          <w:szCs w:val="24"/>
        </w:rPr>
      </w:pPr>
    </w:p>
    <w:p w:rsidR="005E0AA9" w:rsidRDefault="0000586B">
      <w:pPr>
        <w:numPr>
          <w:ilvl w:val="0"/>
          <w:numId w:val="2"/>
        </w:numPr>
        <w:spacing w:after="0" w:line="240" w:lineRule="auto"/>
        <w:jc w:val="both"/>
        <w:rPr>
          <w:rFonts w:ascii="Arial" w:eastAsia="Arial" w:hAnsi="Arial" w:cs="Arial"/>
          <w:sz w:val="24"/>
          <w:szCs w:val="24"/>
        </w:rPr>
      </w:pPr>
      <w:r>
        <w:rPr>
          <w:rFonts w:ascii="Arial" w:eastAsia="Arial" w:hAnsi="Arial" w:cs="Arial"/>
          <w:sz w:val="24"/>
          <w:szCs w:val="24"/>
        </w:rPr>
        <w:t>Es importante identificar y focalizar las acciones tendientes a atender los problemas subyacentes al reclutamiento, utilización, uso, violencia y explotación sexual en el Distrito Capit</w:t>
      </w:r>
      <w:r w:rsidR="00CB6CF4">
        <w:rPr>
          <w:rFonts w:ascii="Arial" w:eastAsia="Arial" w:hAnsi="Arial" w:cs="Arial"/>
          <w:sz w:val="24"/>
          <w:szCs w:val="24"/>
        </w:rPr>
        <w:t>al.</w:t>
      </w:r>
    </w:p>
    <w:p w:rsidR="005E0AA9" w:rsidRDefault="0000586B">
      <w:pPr>
        <w:numPr>
          <w:ilvl w:val="0"/>
          <w:numId w:val="2"/>
        </w:numPr>
        <w:spacing w:after="0" w:line="240" w:lineRule="auto"/>
        <w:jc w:val="both"/>
        <w:rPr>
          <w:rFonts w:ascii="Arial" w:eastAsia="Arial" w:hAnsi="Arial" w:cs="Arial"/>
          <w:sz w:val="24"/>
          <w:szCs w:val="24"/>
        </w:rPr>
      </w:pPr>
      <w:r>
        <w:rPr>
          <w:rFonts w:ascii="Arial" w:eastAsia="Arial" w:hAnsi="Arial" w:cs="Arial"/>
          <w:sz w:val="24"/>
          <w:szCs w:val="24"/>
        </w:rPr>
        <w:t xml:space="preserve">Existe una falta de espacios recreativos y de acompañamiento continuo a proyectos de vida de los niños, niñas, adolescentes y jóvenes en la ciudad, donde toma gran relevancia brindar entornos protectores y seguros a esta población. </w:t>
      </w:r>
    </w:p>
    <w:p w:rsidR="005E0AA9" w:rsidRDefault="0000586B">
      <w:pPr>
        <w:numPr>
          <w:ilvl w:val="0"/>
          <w:numId w:val="2"/>
        </w:numPr>
        <w:spacing w:after="0" w:line="240" w:lineRule="auto"/>
        <w:jc w:val="both"/>
        <w:rPr>
          <w:rFonts w:ascii="Arial" w:eastAsia="Arial" w:hAnsi="Arial" w:cs="Arial"/>
          <w:sz w:val="24"/>
          <w:szCs w:val="24"/>
        </w:rPr>
      </w:pPr>
      <w:r>
        <w:rPr>
          <w:rFonts w:ascii="Arial" w:eastAsia="Arial" w:hAnsi="Arial" w:cs="Arial"/>
          <w:sz w:val="24"/>
          <w:szCs w:val="24"/>
        </w:rPr>
        <w:t xml:space="preserve">Es clave tener en cuenta y partir de las condiciones precarias de las comunidades, como el bajo nivel educativo, así como las afectaciones en salud mental. </w:t>
      </w:r>
    </w:p>
    <w:p w:rsidR="005E0AA9" w:rsidRDefault="0000586B">
      <w:pPr>
        <w:numPr>
          <w:ilvl w:val="0"/>
          <w:numId w:val="2"/>
        </w:numPr>
        <w:spacing w:after="0" w:line="240" w:lineRule="auto"/>
        <w:jc w:val="both"/>
        <w:rPr>
          <w:rFonts w:ascii="Arial" w:eastAsia="Arial" w:hAnsi="Arial" w:cs="Arial"/>
          <w:sz w:val="24"/>
          <w:szCs w:val="24"/>
        </w:rPr>
      </w:pPr>
      <w:r>
        <w:rPr>
          <w:rFonts w:ascii="Arial" w:eastAsia="Arial" w:hAnsi="Arial" w:cs="Arial"/>
          <w:sz w:val="24"/>
          <w:szCs w:val="24"/>
        </w:rPr>
        <w:t>La participación incidente de las comunidades y de la sociedad civil organizada es clave para el planteamiento y fortalecimiento de políticas públicas. Esto se traduce en darle más voz a los NNAJ y sus familias para que narren sus necesidades y expectativas.</w:t>
      </w:r>
    </w:p>
    <w:p w:rsidR="005E0AA9" w:rsidRDefault="0000586B">
      <w:pPr>
        <w:numPr>
          <w:ilvl w:val="0"/>
          <w:numId w:val="2"/>
        </w:numPr>
        <w:spacing w:after="0" w:line="240" w:lineRule="auto"/>
        <w:jc w:val="both"/>
        <w:rPr>
          <w:rFonts w:ascii="Arial" w:eastAsia="Arial" w:hAnsi="Arial" w:cs="Arial"/>
          <w:sz w:val="24"/>
          <w:szCs w:val="24"/>
        </w:rPr>
      </w:pPr>
      <w:r>
        <w:rPr>
          <w:rFonts w:ascii="Arial" w:eastAsia="Arial" w:hAnsi="Arial" w:cs="Arial"/>
          <w:sz w:val="24"/>
          <w:szCs w:val="24"/>
        </w:rPr>
        <w:t xml:space="preserve">Para este Proyecto de Acuerdo, es importante definir y establecer la diferencia entre los conceptos de reclutamiento, utilización y uso de NNAJ, para identificar en qué escenario de violencia se está presentando la vulneración de derechos. Este fenómeno tiene relación con cifras de desapariciones, donde el uso de NNAJ se da en la ciudad y el reclutamiento implica traslado a otros municipios o departamentos. </w:t>
      </w:r>
    </w:p>
    <w:p w:rsidR="005E0AA9" w:rsidRDefault="0000586B">
      <w:pPr>
        <w:numPr>
          <w:ilvl w:val="0"/>
          <w:numId w:val="2"/>
        </w:numPr>
        <w:spacing w:after="0" w:line="240" w:lineRule="auto"/>
        <w:jc w:val="both"/>
        <w:rPr>
          <w:rFonts w:ascii="Arial" w:eastAsia="Arial" w:hAnsi="Arial" w:cs="Arial"/>
          <w:sz w:val="24"/>
          <w:szCs w:val="24"/>
        </w:rPr>
      </w:pPr>
      <w:r>
        <w:rPr>
          <w:rFonts w:ascii="Arial" w:eastAsia="Arial" w:hAnsi="Arial" w:cs="Arial"/>
          <w:sz w:val="24"/>
          <w:szCs w:val="24"/>
        </w:rPr>
        <w:t xml:space="preserve">Es falso afirmar que en Bogotá no se presenta el fenómeno del Reclutamiento, ya que hay actores delictivos que marcan presencia en el territorio, pero bajo dinámicas particulares de la ciudad. </w:t>
      </w:r>
    </w:p>
    <w:p w:rsidR="005E0AA9" w:rsidRDefault="0000586B">
      <w:pPr>
        <w:numPr>
          <w:ilvl w:val="0"/>
          <w:numId w:val="2"/>
        </w:numPr>
        <w:spacing w:after="0" w:line="240" w:lineRule="auto"/>
        <w:jc w:val="both"/>
        <w:rPr>
          <w:rFonts w:ascii="Arial" w:eastAsia="Arial" w:hAnsi="Arial" w:cs="Arial"/>
          <w:sz w:val="24"/>
          <w:szCs w:val="24"/>
        </w:rPr>
      </w:pPr>
      <w:r>
        <w:rPr>
          <w:rFonts w:ascii="Arial" w:eastAsia="Arial" w:hAnsi="Arial" w:cs="Arial"/>
          <w:sz w:val="24"/>
          <w:szCs w:val="24"/>
        </w:rPr>
        <w:t xml:space="preserve">Hace falta mayor coordinación institucional e intersectorial que sea efectiva “No es que no se haga, sino que no se articulan”. </w:t>
      </w:r>
    </w:p>
    <w:p w:rsidR="005E0AA9" w:rsidRDefault="0000586B">
      <w:pPr>
        <w:numPr>
          <w:ilvl w:val="0"/>
          <w:numId w:val="2"/>
        </w:numPr>
        <w:spacing w:after="0" w:line="240" w:lineRule="auto"/>
        <w:jc w:val="both"/>
        <w:rPr>
          <w:rFonts w:ascii="Arial" w:eastAsia="Arial" w:hAnsi="Arial" w:cs="Arial"/>
          <w:sz w:val="24"/>
          <w:szCs w:val="24"/>
        </w:rPr>
      </w:pPr>
      <w:r>
        <w:rPr>
          <w:rFonts w:ascii="Arial" w:eastAsia="Arial" w:hAnsi="Arial" w:cs="Arial"/>
          <w:sz w:val="24"/>
          <w:szCs w:val="24"/>
        </w:rPr>
        <w:t>Es importante contar con presupuesto y con un trazador presupuestal que permita implementar y desarrollar acciones integrales de conformidad con la Política Política Pública de Primera Infancia, Infancia y Adolescencia 2023-2033, y la Política Pública Distrital de Juventud 2019–2030.</w:t>
      </w:r>
    </w:p>
    <w:p w:rsidR="005E0AA9" w:rsidRDefault="005E0AA9">
      <w:pPr>
        <w:spacing w:after="0" w:line="240" w:lineRule="auto"/>
        <w:jc w:val="both"/>
        <w:rPr>
          <w:rFonts w:ascii="Arial" w:eastAsia="Arial" w:hAnsi="Arial" w:cs="Arial"/>
          <w:sz w:val="24"/>
          <w:szCs w:val="24"/>
        </w:rPr>
      </w:pPr>
    </w:p>
    <w:p w:rsidR="00CB6CF4" w:rsidRDefault="0000586B">
      <w:pPr>
        <w:spacing w:after="0" w:line="240" w:lineRule="auto"/>
        <w:jc w:val="both"/>
        <w:rPr>
          <w:rFonts w:ascii="Arial" w:eastAsia="Arial" w:hAnsi="Arial" w:cs="Arial"/>
          <w:sz w:val="24"/>
          <w:szCs w:val="24"/>
        </w:rPr>
      </w:pPr>
      <w:r>
        <w:rPr>
          <w:rFonts w:ascii="Arial" w:eastAsia="Arial" w:hAnsi="Arial" w:cs="Arial"/>
          <w:sz w:val="24"/>
          <w:szCs w:val="24"/>
        </w:rPr>
        <w:t>A continuación, se relacionan evidencias fotográficas de este evento de co-construcción de la presente iniciativa:</w:t>
      </w:r>
    </w:p>
    <w:p w:rsidR="005E0AA9" w:rsidRDefault="0000586B">
      <w:pPr>
        <w:spacing w:after="0" w:line="240" w:lineRule="auto"/>
        <w:jc w:val="both"/>
        <w:rPr>
          <w:rFonts w:ascii="Arial" w:eastAsia="Arial" w:hAnsi="Arial" w:cs="Arial"/>
          <w:sz w:val="24"/>
          <w:szCs w:val="24"/>
        </w:rPr>
      </w:pPr>
      <w:r>
        <w:rPr>
          <w:noProof/>
        </w:rPr>
        <w:drawing>
          <wp:anchor distT="114300" distB="114300" distL="114300" distR="114300" simplePos="0" relativeHeight="251658240" behindDoc="0" locked="0" layoutInCell="1" hidden="0" allowOverlap="1">
            <wp:simplePos x="0" y="0"/>
            <wp:positionH relativeFrom="column">
              <wp:posOffset>314325</wp:posOffset>
            </wp:positionH>
            <wp:positionV relativeFrom="paragraph">
              <wp:posOffset>409575</wp:posOffset>
            </wp:positionV>
            <wp:extent cx="2415540" cy="2400300"/>
            <wp:effectExtent l="0" t="0" r="0" b="0"/>
            <wp:wrapNone/>
            <wp:docPr id="1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l="11590" t="16129" b="30973"/>
                    <a:stretch>
                      <a:fillRect/>
                    </a:stretch>
                  </pic:blipFill>
                  <pic:spPr>
                    <a:xfrm>
                      <a:off x="0" y="0"/>
                      <a:ext cx="2415540" cy="2400300"/>
                    </a:xfrm>
                    <a:prstGeom prst="rect">
                      <a:avLst/>
                    </a:prstGeom>
                    <a:ln/>
                  </pic:spPr>
                </pic:pic>
              </a:graphicData>
            </a:graphic>
          </wp:anchor>
        </w:drawing>
      </w:r>
      <w:r>
        <w:rPr>
          <w:noProof/>
        </w:rPr>
        <w:drawing>
          <wp:anchor distT="114300" distB="114300" distL="114300" distR="114300" simplePos="0" relativeHeight="251659264" behindDoc="0" locked="0" layoutInCell="1" hidden="0" allowOverlap="1">
            <wp:simplePos x="0" y="0"/>
            <wp:positionH relativeFrom="column">
              <wp:posOffset>3092450</wp:posOffset>
            </wp:positionH>
            <wp:positionV relativeFrom="paragraph">
              <wp:posOffset>407640</wp:posOffset>
            </wp:positionV>
            <wp:extent cx="2486025" cy="2396497"/>
            <wp:effectExtent l="0" t="0" r="0" b="0"/>
            <wp:wrapNone/>
            <wp:docPr id="1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l="5667" t="30940" b="12053"/>
                    <a:stretch>
                      <a:fillRect/>
                    </a:stretch>
                  </pic:blipFill>
                  <pic:spPr>
                    <a:xfrm>
                      <a:off x="0" y="0"/>
                      <a:ext cx="2486025" cy="2396497"/>
                    </a:xfrm>
                    <a:prstGeom prst="rect">
                      <a:avLst/>
                    </a:prstGeom>
                    <a:ln/>
                  </pic:spPr>
                </pic:pic>
              </a:graphicData>
            </a:graphic>
          </wp:anchor>
        </w:drawing>
      </w:r>
    </w:p>
    <w:p w:rsidR="005E0AA9" w:rsidRDefault="005E0AA9">
      <w:pPr>
        <w:spacing w:after="0" w:line="240" w:lineRule="auto"/>
        <w:jc w:val="both"/>
        <w:rPr>
          <w:rFonts w:ascii="Arial" w:eastAsia="Arial" w:hAnsi="Arial" w:cs="Arial"/>
          <w:sz w:val="24"/>
          <w:szCs w:val="24"/>
        </w:rPr>
      </w:pPr>
    </w:p>
    <w:p w:rsidR="005E0AA9" w:rsidRDefault="005E0AA9">
      <w:pPr>
        <w:spacing w:after="0" w:line="240" w:lineRule="auto"/>
        <w:jc w:val="both"/>
        <w:rPr>
          <w:rFonts w:ascii="Arial" w:eastAsia="Arial" w:hAnsi="Arial" w:cs="Arial"/>
          <w:sz w:val="24"/>
          <w:szCs w:val="24"/>
        </w:rPr>
      </w:pPr>
    </w:p>
    <w:p w:rsidR="005E0AA9" w:rsidRDefault="005E0AA9">
      <w:pPr>
        <w:spacing w:after="0" w:line="240" w:lineRule="auto"/>
        <w:ind w:right="51"/>
        <w:jc w:val="both"/>
        <w:rPr>
          <w:rFonts w:ascii="Arial" w:eastAsia="Arial" w:hAnsi="Arial" w:cs="Arial"/>
          <w:sz w:val="24"/>
          <w:szCs w:val="24"/>
        </w:rPr>
      </w:pPr>
    </w:p>
    <w:p w:rsidR="005E0AA9" w:rsidRDefault="005E0AA9">
      <w:pPr>
        <w:spacing w:line="240" w:lineRule="auto"/>
        <w:jc w:val="both"/>
        <w:rPr>
          <w:rFonts w:ascii="Arial" w:eastAsia="Arial" w:hAnsi="Arial" w:cs="Arial"/>
          <w:b/>
          <w:sz w:val="24"/>
          <w:szCs w:val="24"/>
        </w:rPr>
      </w:pPr>
    </w:p>
    <w:p w:rsidR="005E0AA9" w:rsidRDefault="005E0AA9">
      <w:pPr>
        <w:spacing w:line="240" w:lineRule="auto"/>
        <w:jc w:val="both"/>
        <w:rPr>
          <w:rFonts w:ascii="Arial" w:eastAsia="Arial" w:hAnsi="Arial" w:cs="Arial"/>
          <w:sz w:val="24"/>
          <w:szCs w:val="24"/>
        </w:rPr>
      </w:pPr>
    </w:p>
    <w:p w:rsidR="005E0AA9" w:rsidRDefault="005E0AA9">
      <w:pPr>
        <w:spacing w:line="240" w:lineRule="auto"/>
        <w:jc w:val="both"/>
        <w:rPr>
          <w:rFonts w:ascii="Arial" w:eastAsia="Arial" w:hAnsi="Arial" w:cs="Arial"/>
          <w:sz w:val="24"/>
          <w:szCs w:val="24"/>
        </w:rPr>
      </w:pPr>
    </w:p>
    <w:p w:rsidR="005E0AA9" w:rsidRDefault="005E0AA9">
      <w:pPr>
        <w:spacing w:line="240" w:lineRule="auto"/>
        <w:jc w:val="both"/>
        <w:rPr>
          <w:rFonts w:ascii="Arial" w:eastAsia="Arial" w:hAnsi="Arial" w:cs="Arial"/>
          <w:sz w:val="24"/>
          <w:szCs w:val="24"/>
        </w:rPr>
      </w:pPr>
    </w:p>
    <w:p w:rsidR="005E0AA9" w:rsidRDefault="005E0AA9">
      <w:pPr>
        <w:spacing w:line="240" w:lineRule="auto"/>
        <w:jc w:val="both"/>
        <w:rPr>
          <w:rFonts w:ascii="Arial" w:eastAsia="Arial" w:hAnsi="Arial" w:cs="Arial"/>
          <w:sz w:val="24"/>
          <w:szCs w:val="24"/>
        </w:rPr>
      </w:pPr>
    </w:p>
    <w:p w:rsidR="005E0AA9" w:rsidRDefault="005E0AA9">
      <w:pPr>
        <w:spacing w:line="240" w:lineRule="auto"/>
        <w:jc w:val="both"/>
        <w:rPr>
          <w:rFonts w:ascii="Arial" w:eastAsia="Arial" w:hAnsi="Arial" w:cs="Arial"/>
          <w:sz w:val="24"/>
          <w:szCs w:val="24"/>
        </w:rPr>
      </w:pPr>
    </w:p>
    <w:p w:rsidR="005E0AA9" w:rsidRDefault="005E0AA9">
      <w:pPr>
        <w:spacing w:line="240" w:lineRule="auto"/>
        <w:jc w:val="both"/>
        <w:rPr>
          <w:rFonts w:ascii="Arial" w:eastAsia="Arial" w:hAnsi="Arial" w:cs="Arial"/>
          <w:sz w:val="24"/>
          <w:szCs w:val="24"/>
        </w:rPr>
      </w:pPr>
    </w:p>
    <w:p w:rsidR="00CB6CF4" w:rsidRDefault="00CB6CF4">
      <w:pPr>
        <w:spacing w:line="240" w:lineRule="auto"/>
        <w:jc w:val="both"/>
        <w:rPr>
          <w:rFonts w:ascii="Arial" w:eastAsia="Arial" w:hAnsi="Arial" w:cs="Arial"/>
          <w:sz w:val="24"/>
          <w:szCs w:val="24"/>
        </w:rPr>
      </w:pPr>
    </w:p>
    <w:p w:rsidR="00CB6CF4" w:rsidRDefault="00CB6CF4">
      <w:pPr>
        <w:spacing w:line="240" w:lineRule="auto"/>
        <w:jc w:val="both"/>
        <w:rPr>
          <w:rFonts w:ascii="Arial" w:eastAsia="Arial" w:hAnsi="Arial" w:cs="Arial"/>
          <w:sz w:val="24"/>
          <w:szCs w:val="24"/>
        </w:rPr>
      </w:pPr>
    </w:p>
    <w:p w:rsidR="00CB6CF4" w:rsidRDefault="00CB6CF4">
      <w:pPr>
        <w:spacing w:line="240" w:lineRule="auto"/>
        <w:jc w:val="both"/>
        <w:rPr>
          <w:rFonts w:ascii="Arial" w:eastAsia="Arial" w:hAnsi="Arial" w:cs="Arial"/>
          <w:sz w:val="24"/>
          <w:szCs w:val="24"/>
        </w:rPr>
      </w:pPr>
    </w:p>
    <w:p w:rsidR="00CB6CF4" w:rsidRDefault="00CB6CF4">
      <w:pPr>
        <w:spacing w:line="240" w:lineRule="auto"/>
        <w:jc w:val="both"/>
        <w:rPr>
          <w:rFonts w:ascii="Arial" w:eastAsia="Arial" w:hAnsi="Arial" w:cs="Arial"/>
          <w:sz w:val="24"/>
          <w:szCs w:val="24"/>
        </w:rPr>
      </w:pPr>
    </w:p>
    <w:p w:rsidR="00CB6CF4" w:rsidRDefault="00CB6CF4">
      <w:pPr>
        <w:spacing w:line="240" w:lineRule="auto"/>
        <w:jc w:val="both"/>
        <w:rPr>
          <w:rFonts w:ascii="Arial" w:eastAsia="Arial" w:hAnsi="Arial" w:cs="Arial"/>
          <w:sz w:val="24"/>
          <w:szCs w:val="24"/>
        </w:rPr>
      </w:pPr>
    </w:p>
    <w:p w:rsidR="00CB6CF4" w:rsidRDefault="00CB6CF4">
      <w:pPr>
        <w:spacing w:line="240" w:lineRule="auto"/>
        <w:jc w:val="both"/>
        <w:rPr>
          <w:rFonts w:ascii="Arial" w:eastAsia="Arial" w:hAnsi="Arial" w:cs="Arial"/>
          <w:sz w:val="24"/>
          <w:szCs w:val="24"/>
        </w:rPr>
      </w:pPr>
    </w:p>
    <w:p w:rsidR="00CB6CF4" w:rsidRDefault="00CB6CF4">
      <w:pPr>
        <w:spacing w:line="240" w:lineRule="auto"/>
        <w:jc w:val="both"/>
        <w:rPr>
          <w:rFonts w:ascii="Arial" w:eastAsia="Arial" w:hAnsi="Arial" w:cs="Arial"/>
          <w:sz w:val="24"/>
          <w:szCs w:val="24"/>
        </w:rPr>
      </w:pPr>
    </w:p>
    <w:p w:rsidR="00CB6CF4" w:rsidRDefault="00CB6CF4">
      <w:pPr>
        <w:spacing w:line="240" w:lineRule="auto"/>
        <w:jc w:val="both"/>
        <w:rPr>
          <w:rFonts w:ascii="Arial" w:eastAsia="Arial" w:hAnsi="Arial" w:cs="Arial"/>
          <w:sz w:val="24"/>
          <w:szCs w:val="24"/>
        </w:rPr>
      </w:pPr>
    </w:p>
    <w:p w:rsidR="005E0AA9" w:rsidRDefault="0062655C">
      <w:pPr>
        <w:spacing w:line="240" w:lineRule="auto"/>
        <w:jc w:val="both"/>
        <w:rPr>
          <w:rFonts w:ascii="Arial" w:eastAsia="Arial" w:hAnsi="Arial" w:cs="Arial"/>
          <w:sz w:val="24"/>
          <w:szCs w:val="24"/>
        </w:rPr>
      </w:pPr>
      <w:r>
        <w:rPr>
          <w:noProof/>
        </w:rPr>
        <w:drawing>
          <wp:anchor distT="114300" distB="114300" distL="114300" distR="114300" simplePos="0" relativeHeight="251661312" behindDoc="0" locked="0" layoutInCell="1" hidden="0" allowOverlap="1">
            <wp:simplePos x="0" y="0"/>
            <wp:positionH relativeFrom="column">
              <wp:posOffset>3096080</wp:posOffset>
            </wp:positionH>
            <wp:positionV relativeFrom="paragraph">
              <wp:posOffset>64287</wp:posOffset>
            </wp:positionV>
            <wp:extent cx="2485390" cy="2442949"/>
            <wp:effectExtent l="0" t="0" r="0" b="0"/>
            <wp:wrapNone/>
            <wp:docPr id="1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t="17603"/>
                    <a:stretch>
                      <a:fillRect/>
                    </a:stretch>
                  </pic:blipFill>
                  <pic:spPr>
                    <a:xfrm>
                      <a:off x="0" y="0"/>
                      <a:ext cx="2485918" cy="2443468"/>
                    </a:xfrm>
                    <a:prstGeom prst="rect">
                      <a:avLst/>
                    </a:prstGeom>
                    <a:ln/>
                  </pic:spPr>
                </pic:pic>
              </a:graphicData>
            </a:graphic>
            <wp14:sizeRelV relativeFrom="margin">
              <wp14:pctHeight>0</wp14:pctHeight>
            </wp14:sizeRelV>
          </wp:anchor>
        </w:drawing>
      </w:r>
      <w:r>
        <w:rPr>
          <w:noProof/>
        </w:rPr>
        <w:drawing>
          <wp:anchor distT="114300" distB="114300" distL="114300" distR="114300" simplePos="0" relativeHeight="251660288" behindDoc="0" locked="0" layoutInCell="1" hidden="0" allowOverlap="1">
            <wp:simplePos x="0" y="0"/>
            <wp:positionH relativeFrom="column">
              <wp:posOffset>311937</wp:posOffset>
            </wp:positionH>
            <wp:positionV relativeFrom="paragraph">
              <wp:posOffset>57463</wp:posOffset>
            </wp:positionV>
            <wp:extent cx="2428000" cy="2436125"/>
            <wp:effectExtent l="0" t="0" r="0" b="2540"/>
            <wp:wrapNone/>
            <wp:docPr id="1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t="28084" b="8662"/>
                    <a:stretch>
                      <a:fillRect/>
                    </a:stretch>
                  </pic:blipFill>
                  <pic:spPr>
                    <a:xfrm>
                      <a:off x="0" y="0"/>
                      <a:ext cx="2430566" cy="2438700"/>
                    </a:xfrm>
                    <a:prstGeom prst="rect">
                      <a:avLst/>
                    </a:prstGeom>
                    <a:ln/>
                  </pic:spPr>
                </pic:pic>
              </a:graphicData>
            </a:graphic>
            <wp14:sizeRelV relativeFrom="margin">
              <wp14:pctHeight>0</wp14:pctHeight>
            </wp14:sizeRelV>
          </wp:anchor>
        </w:drawing>
      </w:r>
    </w:p>
    <w:p w:rsidR="005E0AA9" w:rsidRDefault="005E0AA9">
      <w:pPr>
        <w:spacing w:line="240" w:lineRule="auto"/>
        <w:jc w:val="both"/>
        <w:rPr>
          <w:rFonts w:ascii="Arial" w:eastAsia="Arial" w:hAnsi="Arial" w:cs="Arial"/>
          <w:sz w:val="24"/>
          <w:szCs w:val="24"/>
        </w:rPr>
      </w:pPr>
    </w:p>
    <w:p w:rsidR="005E0AA9" w:rsidRDefault="005E0AA9">
      <w:pPr>
        <w:spacing w:line="240" w:lineRule="auto"/>
        <w:jc w:val="both"/>
        <w:rPr>
          <w:rFonts w:ascii="Arial" w:eastAsia="Arial" w:hAnsi="Arial" w:cs="Arial"/>
          <w:sz w:val="24"/>
          <w:szCs w:val="24"/>
        </w:rPr>
      </w:pPr>
    </w:p>
    <w:p w:rsidR="005E0AA9" w:rsidRDefault="005E0AA9">
      <w:pPr>
        <w:spacing w:line="240" w:lineRule="auto"/>
        <w:jc w:val="both"/>
        <w:rPr>
          <w:rFonts w:ascii="Arial" w:eastAsia="Arial" w:hAnsi="Arial" w:cs="Arial"/>
          <w:sz w:val="24"/>
          <w:szCs w:val="24"/>
        </w:rPr>
      </w:pPr>
    </w:p>
    <w:p w:rsidR="005E0AA9" w:rsidRDefault="005E0AA9">
      <w:pPr>
        <w:spacing w:line="240" w:lineRule="auto"/>
        <w:jc w:val="both"/>
        <w:rPr>
          <w:rFonts w:ascii="Arial" w:eastAsia="Arial" w:hAnsi="Arial" w:cs="Arial"/>
          <w:sz w:val="24"/>
          <w:szCs w:val="24"/>
        </w:rPr>
      </w:pPr>
    </w:p>
    <w:p w:rsidR="005E0AA9" w:rsidRDefault="005E0AA9">
      <w:pPr>
        <w:spacing w:line="240" w:lineRule="auto"/>
        <w:jc w:val="both"/>
        <w:rPr>
          <w:rFonts w:ascii="Arial" w:eastAsia="Arial" w:hAnsi="Arial" w:cs="Arial"/>
          <w:sz w:val="24"/>
          <w:szCs w:val="24"/>
        </w:rPr>
      </w:pPr>
    </w:p>
    <w:p w:rsidR="005E0AA9" w:rsidRDefault="005E0AA9">
      <w:pPr>
        <w:spacing w:line="240" w:lineRule="auto"/>
        <w:jc w:val="both"/>
        <w:rPr>
          <w:rFonts w:ascii="Arial" w:eastAsia="Arial" w:hAnsi="Arial" w:cs="Arial"/>
          <w:sz w:val="24"/>
          <w:szCs w:val="24"/>
        </w:rPr>
      </w:pPr>
    </w:p>
    <w:p w:rsidR="005E0AA9" w:rsidRDefault="005E0AA9">
      <w:pPr>
        <w:spacing w:line="240" w:lineRule="auto"/>
        <w:jc w:val="both"/>
        <w:rPr>
          <w:rFonts w:ascii="Arial" w:eastAsia="Arial" w:hAnsi="Arial" w:cs="Arial"/>
          <w:sz w:val="24"/>
          <w:szCs w:val="24"/>
        </w:rPr>
      </w:pPr>
    </w:p>
    <w:p w:rsidR="0062655C" w:rsidRDefault="0062655C">
      <w:pPr>
        <w:spacing w:after="0" w:line="240" w:lineRule="auto"/>
        <w:jc w:val="both"/>
        <w:rPr>
          <w:rFonts w:ascii="Arial" w:eastAsia="Arial" w:hAnsi="Arial" w:cs="Arial"/>
          <w:sz w:val="24"/>
          <w:szCs w:val="24"/>
        </w:rPr>
      </w:pPr>
    </w:p>
    <w:p w:rsidR="0062655C" w:rsidRDefault="0062655C">
      <w:pPr>
        <w:spacing w:after="0" w:line="240" w:lineRule="auto"/>
        <w:jc w:val="both"/>
        <w:rPr>
          <w:rFonts w:ascii="Arial" w:eastAsia="Arial" w:hAnsi="Arial" w:cs="Arial"/>
          <w:sz w:val="24"/>
          <w:szCs w:val="24"/>
        </w:rPr>
      </w:pPr>
    </w:p>
    <w:p w:rsidR="00CB6CF4" w:rsidRDefault="00CB6CF4">
      <w:pPr>
        <w:spacing w:after="0" w:line="240" w:lineRule="auto"/>
        <w:jc w:val="both"/>
        <w:rPr>
          <w:rFonts w:ascii="Arial" w:eastAsia="Arial" w:hAnsi="Arial" w:cs="Arial"/>
          <w:sz w:val="24"/>
          <w:szCs w:val="24"/>
        </w:rPr>
      </w:pPr>
    </w:p>
    <w:p w:rsidR="005E0AA9" w:rsidRDefault="0000586B">
      <w:pPr>
        <w:spacing w:after="0" w:line="240" w:lineRule="auto"/>
        <w:jc w:val="both"/>
        <w:rPr>
          <w:rFonts w:ascii="Arial" w:eastAsia="Arial" w:hAnsi="Arial" w:cs="Arial"/>
          <w:b/>
          <w:sz w:val="24"/>
          <w:szCs w:val="24"/>
        </w:rPr>
      </w:pPr>
      <w:r>
        <w:rPr>
          <w:rFonts w:ascii="Arial" w:eastAsia="Arial" w:hAnsi="Arial" w:cs="Arial"/>
          <w:sz w:val="24"/>
          <w:szCs w:val="24"/>
        </w:rPr>
        <w:t>Cordialmente,</w:t>
      </w:r>
    </w:p>
    <w:p w:rsidR="005E0AA9" w:rsidRDefault="005E0AA9">
      <w:pPr>
        <w:spacing w:after="0" w:line="240" w:lineRule="auto"/>
        <w:jc w:val="center"/>
        <w:rPr>
          <w:rFonts w:ascii="Arial" w:eastAsia="Arial" w:hAnsi="Arial" w:cs="Arial"/>
          <w:b/>
          <w:sz w:val="24"/>
          <w:szCs w:val="24"/>
        </w:rPr>
      </w:pPr>
    </w:p>
    <w:p w:rsidR="005E0AA9" w:rsidRDefault="005E0AA9">
      <w:pPr>
        <w:spacing w:after="0" w:line="240" w:lineRule="auto"/>
        <w:rPr>
          <w:rFonts w:ascii="Arial" w:eastAsia="Arial" w:hAnsi="Arial" w:cs="Arial"/>
          <w:b/>
          <w:sz w:val="24"/>
          <w:szCs w:val="24"/>
        </w:rPr>
      </w:pPr>
    </w:p>
    <w:p w:rsidR="005E0AA9" w:rsidRDefault="005E0AA9">
      <w:pPr>
        <w:spacing w:after="0" w:line="240" w:lineRule="auto"/>
        <w:rPr>
          <w:rFonts w:ascii="Arial" w:eastAsia="Arial" w:hAnsi="Arial" w:cs="Arial"/>
          <w:b/>
          <w:sz w:val="24"/>
          <w:szCs w:val="24"/>
        </w:rPr>
      </w:pPr>
    </w:p>
    <w:p w:rsidR="005E0AA9" w:rsidRDefault="005E0AA9">
      <w:pPr>
        <w:spacing w:after="0" w:line="240" w:lineRule="auto"/>
        <w:jc w:val="both"/>
        <w:rPr>
          <w:rFonts w:ascii="Arial" w:eastAsia="Arial" w:hAnsi="Arial" w:cs="Arial"/>
          <w:sz w:val="24"/>
          <w:szCs w:val="24"/>
        </w:rPr>
      </w:pPr>
    </w:p>
    <w:sdt>
      <w:sdtPr>
        <w:tag w:val="goog_rdk_2"/>
        <w:id w:val="-551699036"/>
        <w:lock w:val="contentLocked"/>
      </w:sdtPr>
      <w:sdtEndPr/>
      <w:sdtContent>
        <w:tbl>
          <w:tblPr>
            <w:tblStyle w:val="a1"/>
            <w:tblW w:w="882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4395"/>
            <w:gridCol w:w="4425"/>
          </w:tblGrid>
          <w:tr w:rsidR="005E0AA9">
            <w:tc>
              <w:tcPr>
                <w:tcW w:w="4395" w:type="dxa"/>
                <w:shd w:val="clear" w:color="auto" w:fill="auto"/>
                <w:tcMar>
                  <w:top w:w="100" w:type="dxa"/>
                  <w:left w:w="100" w:type="dxa"/>
                  <w:bottom w:w="100" w:type="dxa"/>
                  <w:right w:w="100" w:type="dxa"/>
                </w:tcMar>
              </w:tcPr>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b/>
                    <w:sz w:val="24"/>
                    <w:szCs w:val="24"/>
                  </w:rPr>
                  <w:t xml:space="preserve">ARMANDO GUTIÉRREZ GONZÁLEZ </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Partido Liberal Colombiano</w:t>
                </w:r>
              </w:p>
            </w:tc>
            <w:tc>
              <w:tcPr>
                <w:tcW w:w="4425" w:type="dxa"/>
                <w:shd w:val="clear" w:color="auto" w:fill="auto"/>
                <w:tcMar>
                  <w:top w:w="100" w:type="dxa"/>
                  <w:left w:w="100" w:type="dxa"/>
                  <w:bottom w:w="100" w:type="dxa"/>
                  <w:right w:w="100" w:type="dxa"/>
                </w:tcMar>
              </w:tcPr>
              <w:p w:rsidR="005E0AA9" w:rsidRDefault="0000586B">
                <w:pPr>
                  <w:widowControl w:val="0"/>
                  <w:spacing w:after="0" w:line="240" w:lineRule="auto"/>
                  <w:rPr>
                    <w:rFonts w:ascii="Arial" w:eastAsia="Arial" w:hAnsi="Arial" w:cs="Arial"/>
                    <w:b/>
                    <w:sz w:val="24"/>
                    <w:szCs w:val="24"/>
                  </w:rPr>
                </w:pPr>
                <w:r>
                  <w:rPr>
                    <w:rFonts w:ascii="Arial" w:eastAsia="Arial" w:hAnsi="Arial" w:cs="Arial"/>
                    <w:b/>
                    <w:sz w:val="24"/>
                    <w:szCs w:val="24"/>
                  </w:rPr>
                  <w:t>SAMIR JOSÉ ABISAMBRA VESGA</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Partido Liberal Colombiano</w:t>
                </w:r>
              </w:p>
            </w:tc>
          </w:tr>
          <w:tr w:rsidR="005E0AA9">
            <w:tc>
              <w:tcPr>
                <w:tcW w:w="4395" w:type="dxa"/>
                <w:shd w:val="clear" w:color="auto" w:fill="auto"/>
                <w:tcMar>
                  <w:top w:w="100" w:type="dxa"/>
                  <w:left w:w="100" w:type="dxa"/>
                  <w:bottom w:w="100" w:type="dxa"/>
                  <w:right w:w="100" w:type="dxa"/>
                </w:tcMar>
              </w:tcPr>
              <w:p w:rsidR="005E0AA9" w:rsidRDefault="005E0AA9">
                <w:pPr>
                  <w:widowControl w:val="0"/>
                  <w:spacing w:after="0" w:line="240" w:lineRule="auto"/>
                  <w:rPr>
                    <w:rFonts w:ascii="Arial" w:eastAsia="Arial" w:hAnsi="Arial" w:cs="Arial"/>
                    <w:sz w:val="24"/>
                    <w:szCs w:val="24"/>
                  </w:rPr>
                </w:pPr>
              </w:p>
              <w:p w:rsidR="005E0AA9" w:rsidRDefault="005E0AA9">
                <w:pPr>
                  <w:widowControl w:val="0"/>
                  <w:spacing w:after="0" w:line="240" w:lineRule="auto"/>
                  <w:rPr>
                    <w:rFonts w:ascii="Arial" w:eastAsia="Arial" w:hAnsi="Arial" w:cs="Arial"/>
                    <w:sz w:val="24"/>
                    <w:szCs w:val="24"/>
                  </w:rPr>
                </w:pPr>
              </w:p>
              <w:p w:rsidR="005E0AA9" w:rsidRDefault="005E0AA9">
                <w:pPr>
                  <w:widowControl w:val="0"/>
                  <w:spacing w:after="0" w:line="240" w:lineRule="auto"/>
                  <w:rPr>
                    <w:rFonts w:ascii="Arial" w:eastAsia="Arial" w:hAnsi="Arial" w:cs="Arial"/>
                    <w:sz w:val="24"/>
                    <w:szCs w:val="24"/>
                  </w:rPr>
                </w:pPr>
              </w:p>
            </w:tc>
            <w:tc>
              <w:tcPr>
                <w:tcW w:w="4425" w:type="dxa"/>
                <w:shd w:val="clear" w:color="auto" w:fill="auto"/>
                <w:tcMar>
                  <w:top w:w="100" w:type="dxa"/>
                  <w:left w:w="100" w:type="dxa"/>
                  <w:bottom w:w="100" w:type="dxa"/>
                  <w:right w:w="100" w:type="dxa"/>
                </w:tcMar>
              </w:tcPr>
              <w:p w:rsidR="005E0AA9" w:rsidRDefault="005E0AA9">
                <w:pPr>
                  <w:widowControl w:val="0"/>
                  <w:spacing w:after="0" w:line="240" w:lineRule="auto"/>
                  <w:rPr>
                    <w:rFonts w:ascii="Arial" w:eastAsia="Arial" w:hAnsi="Arial" w:cs="Arial"/>
                    <w:sz w:val="24"/>
                    <w:szCs w:val="24"/>
                  </w:rPr>
                </w:pPr>
              </w:p>
            </w:tc>
          </w:tr>
          <w:tr w:rsidR="005E0AA9">
            <w:tc>
              <w:tcPr>
                <w:tcW w:w="4395" w:type="dxa"/>
                <w:shd w:val="clear" w:color="auto" w:fill="auto"/>
                <w:tcMar>
                  <w:top w:w="100" w:type="dxa"/>
                  <w:left w:w="100" w:type="dxa"/>
                  <w:bottom w:w="100" w:type="dxa"/>
                  <w:right w:w="100" w:type="dxa"/>
                </w:tcMar>
              </w:tcPr>
              <w:p w:rsidR="005E0AA9" w:rsidRDefault="0000586B">
                <w:pPr>
                  <w:widowControl w:val="0"/>
                  <w:spacing w:after="0" w:line="240" w:lineRule="auto"/>
                  <w:rPr>
                    <w:rFonts w:ascii="Arial" w:eastAsia="Arial" w:hAnsi="Arial" w:cs="Arial"/>
                    <w:b/>
                    <w:sz w:val="24"/>
                    <w:szCs w:val="24"/>
                  </w:rPr>
                </w:pPr>
                <w:r>
                  <w:rPr>
                    <w:rFonts w:ascii="Arial" w:eastAsia="Arial" w:hAnsi="Arial" w:cs="Arial"/>
                    <w:b/>
                    <w:sz w:val="24"/>
                    <w:szCs w:val="24"/>
                  </w:rPr>
                  <w:t>DARÍO FERNANDO CEPEDA</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sz w:val="24"/>
                    <w:szCs w:val="24"/>
                  </w:rPr>
                  <w:t>Partido Liberal Colombiano</w:t>
                </w:r>
              </w:p>
            </w:tc>
            <w:tc>
              <w:tcPr>
                <w:tcW w:w="4425" w:type="dxa"/>
                <w:shd w:val="clear" w:color="auto" w:fill="auto"/>
                <w:tcMar>
                  <w:top w:w="100" w:type="dxa"/>
                  <w:left w:w="100" w:type="dxa"/>
                  <w:bottom w:w="100" w:type="dxa"/>
                  <w:right w:w="100" w:type="dxa"/>
                </w:tcMar>
              </w:tcPr>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b/>
                    <w:sz w:val="24"/>
                    <w:szCs w:val="24"/>
                  </w:rPr>
                  <w:t>GERMÁN AUGUSTO GARCÍA MAYA</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sz w:val="24"/>
                    <w:szCs w:val="24"/>
                  </w:rPr>
                  <w:t>Partido Liberal Colombiano</w:t>
                </w:r>
              </w:p>
            </w:tc>
          </w:tr>
          <w:tr w:rsidR="005E0AA9">
            <w:tc>
              <w:tcPr>
                <w:tcW w:w="4395" w:type="dxa"/>
                <w:shd w:val="clear" w:color="auto" w:fill="auto"/>
                <w:tcMar>
                  <w:top w:w="100" w:type="dxa"/>
                  <w:left w:w="100" w:type="dxa"/>
                  <w:bottom w:w="100" w:type="dxa"/>
                  <w:right w:w="100" w:type="dxa"/>
                </w:tcMar>
              </w:tcPr>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tc>
            <w:tc>
              <w:tcPr>
                <w:tcW w:w="4425" w:type="dxa"/>
                <w:shd w:val="clear" w:color="auto" w:fill="auto"/>
                <w:tcMar>
                  <w:top w:w="100" w:type="dxa"/>
                  <w:left w:w="100" w:type="dxa"/>
                  <w:bottom w:w="100" w:type="dxa"/>
                  <w:right w:w="100" w:type="dxa"/>
                </w:tcMar>
              </w:tcPr>
              <w:p w:rsidR="005E0AA9" w:rsidRDefault="005E0AA9">
                <w:pPr>
                  <w:widowControl w:val="0"/>
                  <w:spacing w:after="0" w:line="240" w:lineRule="auto"/>
                  <w:rPr>
                    <w:rFonts w:ascii="Arial" w:eastAsia="Arial" w:hAnsi="Arial" w:cs="Arial"/>
                    <w:b/>
                    <w:sz w:val="24"/>
                    <w:szCs w:val="24"/>
                  </w:rPr>
                </w:pPr>
              </w:p>
            </w:tc>
          </w:tr>
          <w:tr w:rsidR="005E0AA9">
            <w:tc>
              <w:tcPr>
                <w:tcW w:w="4395" w:type="dxa"/>
                <w:shd w:val="clear" w:color="auto" w:fill="auto"/>
                <w:tcMar>
                  <w:top w:w="100" w:type="dxa"/>
                  <w:left w:w="100" w:type="dxa"/>
                  <w:bottom w:w="100" w:type="dxa"/>
                  <w:right w:w="100" w:type="dxa"/>
                </w:tcMar>
              </w:tcPr>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b/>
                    <w:sz w:val="24"/>
                    <w:szCs w:val="24"/>
                  </w:rPr>
                  <w:t>MARÍA VICTORIA VARGAS SILVA</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Partido Liberal Colombiano</w:t>
                </w:r>
              </w:p>
              <w:p w:rsidR="005E0AA9" w:rsidRDefault="005E0AA9">
                <w:pPr>
                  <w:widowControl w:val="0"/>
                  <w:spacing w:after="0" w:line="240" w:lineRule="auto"/>
                  <w:jc w:val="both"/>
                  <w:rPr>
                    <w:rFonts w:ascii="Arial" w:eastAsia="Arial" w:hAnsi="Arial" w:cs="Arial"/>
                    <w:sz w:val="24"/>
                    <w:szCs w:val="24"/>
                  </w:rPr>
                </w:pPr>
              </w:p>
              <w:p w:rsidR="005E0AA9" w:rsidRDefault="005E0AA9">
                <w:pPr>
                  <w:widowControl w:val="0"/>
                  <w:spacing w:after="0" w:line="240" w:lineRule="auto"/>
                  <w:jc w:val="both"/>
                  <w:rPr>
                    <w:rFonts w:ascii="Arial" w:eastAsia="Arial" w:hAnsi="Arial" w:cs="Arial"/>
                    <w:sz w:val="24"/>
                    <w:szCs w:val="24"/>
                  </w:rPr>
                </w:pPr>
              </w:p>
              <w:p w:rsidR="005E0AA9" w:rsidRDefault="005E0AA9">
                <w:pPr>
                  <w:widowControl w:val="0"/>
                  <w:spacing w:after="0" w:line="240" w:lineRule="auto"/>
                  <w:jc w:val="both"/>
                  <w:rPr>
                    <w:rFonts w:ascii="Arial" w:eastAsia="Arial" w:hAnsi="Arial" w:cs="Arial"/>
                    <w:sz w:val="24"/>
                    <w:szCs w:val="24"/>
                  </w:rPr>
                </w:pPr>
              </w:p>
              <w:p w:rsidR="005E0AA9" w:rsidRDefault="005E0AA9">
                <w:pPr>
                  <w:widowControl w:val="0"/>
                  <w:spacing w:after="0" w:line="240" w:lineRule="auto"/>
                  <w:jc w:val="both"/>
                  <w:rPr>
                    <w:rFonts w:ascii="Arial" w:eastAsia="Arial" w:hAnsi="Arial" w:cs="Arial"/>
                    <w:sz w:val="24"/>
                    <w:szCs w:val="24"/>
                  </w:rPr>
                </w:pPr>
              </w:p>
              <w:p w:rsidR="005E0AA9" w:rsidRDefault="0000586B">
                <w:pPr>
                  <w:widowControl w:val="0"/>
                  <w:spacing w:after="0" w:line="240" w:lineRule="auto"/>
                  <w:rPr>
                    <w:rFonts w:ascii="Arial" w:eastAsia="Arial" w:hAnsi="Arial" w:cs="Arial"/>
                    <w:b/>
                    <w:sz w:val="24"/>
                    <w:szCs w:val="24"/>
                  </w:rPr>
                </w:pPr>
                <w:r>
                  <w:rPr>
                    <w:rFonts w:ascii="Arial" w:eastAsia="Arial" w:hAnsi="Arial" w:cs="Arial"/>
                    <w:b/>
                    <w:sz w:val="24"/>
                    <w:szCs w:val="24"/>
                  </w:rPr>
                  <w:t>ANDRÉS GARCÍA VARGAS</w:t>
                </w:r>
              </w:p>
              <w:p w:rsidR="005E0AA9" w:rsidRDefault="0000586B">
                <w:pPr>
                  <w:widowControl w:val="0"/>
                  <w:spacing w:after="0" w:line="240" w:lineRule="auto"/>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rPr>
                    <w:rFonts w:ascii="Arial" w:eastAsia="Arial" w:hAnsi="Arial" w:cs="Arial"/>
                    <w:sz w:val="24"/>
                    <w:szCs w:val="24"/>
                  </w:rPr>
                </w:pPr>
                <w:r>
                  <w:rPr>
                    <w:rFonts w:ascii="Arial" w:eastAsia="Arial" w:hAnsi="Arial" w:cs="Arial"/>
                    <w:sz w:val="24"/>
                    <w:szCs w:val="24"/>
                  </w:rPr>
                  <w:t>Partido Alianza Verde</w:t>
                </w:r>
              </w:p>
            </w:tc>
            <w:tc>
              <w:tcPr>
                <w:tcW w:w="4425" w:type="dxa"/>
                <w:shd w:val="clear" w:color="auto" w:fill="auto"/>
                <w:tcMar>
                  <w:top w:w="100" w:type="dxa"/>
                  <w:left w:w="100" w:type="dxa"/>
                  <w:bottom w:w="100" w:type="dxa"/>
                  <w:right w:w="100" w:type="dxa"/>
                </w:tcMar>
              </w:tcPr>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b/>
                    <w:sz w:val="24"/>
                    <w:szCs w:val="24"/>
                  </w:rPr>
                  <w:t>CLARA LUCÍA SANDOVAL MORENO</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sz w:val="24"/>
                    <w:szCs w:val="24"/>
                  </w:rPr>
                  <w:t>Partido Liberal Colombiano</w:t>
                </w:r>
              </w:p>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p w:rsidR="005E0AA9" w:rsidRDefault="0000586B">
                <w:pPr>
                  <w:widowControl w:val="0"/>
                  <w:spacing w:after="0" w:line="240" w:lineRule="auto"/>
                  <w:rPr>
                    <w:rFonts w:ascii="Arial" w:eastAsia="Arial" w:hAnsi="Arial" w:cs="Arial"/>
                    <w:b/>
                    <w:sz w:val="24"/>
                    <w:szCs w:val="24"/>
                  </w:rPr>
                </w:pPr>
                <w:r>
                  <w:rPr>
                    <w:rFonts w:ascii="Arial" w:eastAsia="Arial" w:hAnsi="Arial" w:cs="Arial"/>
                    <w:b/>
                    <w:sz w:val="24"/>
                    <w:szCs w:val="24"/>
                  </w:rPr>
                  <w:t>MARÍA CLARA NAME RAMÍREZ</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sz w:val="24"/>
                    <w:szCs w:val="24"/>
                  </w:rPr>
                  <w:t>Partido Alianza Verde</w:t>
                </w:r>
              </w:p>
            </w:tc>
          </w:tr>
          <w:tr w:rsidR="005E0AA9">
            <w:tc>
              <w:tcPr>
                <w:tcW w:w="4395" w:type="dxa"/>
                <w:shd w:val="clear" w:color="auto" w:fill="auto"/>
                <w:tcMar>
                  <w:top w:w="100" w:type="dxa"/>
                  <w:left w:w="100" w:type="dxa"/>
                  <w:bottom w:w="100" w:type="dxa"/>
                  <w:right w:w="100" w:type="dxa"/>
                </w:tcMar>
              </w:tcPr>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p w:rsidR="005E0AA9" w:rsidRDefault="0000586B">
                <w:pPr>
                  <w:widowControl w:val="0"/>
                  <w:spacing w:after="0" w:line="240" w:lineRule="auto"/>
                  <w:rPr>
                    <w:rFonts w:ascii="Arial" w:eastAsia="Arial" w:hAnsi="Arial" w:cs="Arial"/>
                    <w:b/>
                    <w:sz w:val="24"/>
                    <w:szCs w:val="24"/>
                  </w:rPr>
                </w:pPr>
                <w:r>
                  <w:rPr>
                    <w:rFonts w:ascii="Arial" w:eastAsia="Arial" w:hAnsi="Arial" w:cs="Arial"/>
                    <w:b/>
                    <w:sz w:val="24"/>
                    <w:szCs w:val="24"/>
                  </w:rPr>
                  <w:t>ANDRÉS DARÍO ONZAGA</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sz w:val="24"/>
                    <w:szCs w:val="24"/>
                  </w:rPr>
                  <w:t>Partido Alianza Verde</w:t>
                </w:r>
              </w:p>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tc>
            <w:tc>
              <w:tcPr>
                <w:tcW w:w="4425" w:type="dxa"/>
                <w:shd w:val="clear" w:color="auto" w:fill="auto"/>
                <w:tcMar>
                  <w:top w:w="100" w:type="dxa"/>
                  <w:left w:w="100" w:type="dxa"/>
                  <w:bottom w:w="100" w:type="dxa"/>
                  <w:right w:w="100" w:type="dxa"/>
                </w:tcMar>
              </w:tcPr>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p w:rsidR="005E0AA9" w:rsidRDefault="005E0AA9">
                <w:pPr>
                  <w:widowControl w:val="0"/>
                  <w:spacing w:after="0" w:line="240" w:lineRule="auto"/>
                  <w:rPr>
                    <w:rFonts w:ascii="Arial" w:eastAsia="Arial" w:hAnsi="Arial" w:cs="Arial"/>
                    <w:b/>
                    <w:sz w:val="24"/>
                    <w:szCs w:val="24"/>
                  </w:rPr>
                </w:pPr>
              </w:p>
              <w:p w:rsidR="005E0AA9" w:rsidRDefault="0000586B">
                <w:pPr>
                  <w:widowControl w:val="0"/>
                  <w:spacing w:after="0" w:line="240" w:lineRule="auto"/>
                  <w:rPr>
                    <w:rFonts w:ascii="Arial" w:eastAsia="Arial" w:hAnsi="Arial" w:cs="Arial"/>
                    <w:sz w:val="24"/>
                    <w:szCs w:val="24"/>
                  </w:rPr>
                </w:pPr>
                <w:r>
                  <w:rPr>
                    <w:rFonts w:ascii="Arial" w:eastAsia="Arial" w:hAnsi="Arial" w:cs="Arial"/>
                    <w:b/>
                    <w:sz w:val="24"/>
                    <w:szCs w:val="24"/>
                  </w:rPr>
                  <w:t>ROCÍO DUSSÁN PÉREZ</w:t>
                </w:r>
                <w:r>
                  <w:rPr>
                    <w:rFonts w:ascii="Arial" w:eastAsia="Arial" w:hAnsi="Arial" w:cs="Arial"/>
                    <w:b/>
                    <w:sz w:val="24"/>
                    <w:szCs w:val="24"/>
                  </w:rPr>
                  <w:br/>
                </w:r>
                <w:r>
                  <w:rPr>
                    <w:rFonts w:ascii="Arial" w:eastAsia="Arial" w:hAnsi="Arial" w:cs="Arial"/>
                    <w:sz w:val="24"/>
                    <w:szCs w:val="24"/>
                  </w:rPr>
                  <w:t>Concejal de Bogotá D.C.</w:t>
                </w:r>
                <w:r>
                  <w:rPr>
                    <w:rFonts w:ascii="Arial" w:eastAsia="Arial" w:hAnsi="Arial" w:cs="Arial"/>
                    <w:sz w:val="24"/>
                    <w:szCs w:val="24"/>
                  </w:rPr>
                  <w:br/>
                  <w:t>Partido Polo Democrático</w:t>
                </w:r>
              </w:p>
            </w:tc>
          </w:tr>
          <w:tr w:rsidR="005E0AA9">
            <w:tc>
              <w:tcPr>
                <w:tcW w:w="4395" w:type="dxa"/>
                <w:shd w:val="clear" w:color="auto" w:fill="auto"/>
                <w:tcMar>
                  <w:top w:w="100" w:type="dxa"/>
                  <w:left w:w="100" w:type="dxa"/>
                  <w:bottom w:w="100" w:type="dxa"/>
                  <w:right w:w="100" w:type="dxa"/>
                </w:tcMar>
              </w:tcPr>
              <w:p w:rsidR="005E0AA9" w:rsidRDefault="0000586B">
                <w:pPr>
                  <w:widowControl w:val="0"/>
                  <w:spacing w:after="0" w:line="240" w:lineRule="auto"/>
                  <w:rPr>
                    <w:rFonts w:ascii="Arial" w:eastAsia="Arial" w:hAnsi="Arial" w:cs="Arial"/>
                    <w:b/>
                    <w:sz w:val="24"/>
                    <w:szCs w:val="24"/>
                  </w:rPr>
                </w:pPr>
                <w:r>
                  <w:rPr>
                    <w:rFonts w:ascii="Arial" w:eastAsia="Arial" w:hAnsi="Arial" w:cs="Arial"/>
                    <w:b/>
                    <w:sz w:val="24"/>
                    <w:szCs w:val="24"/>
                  </w:rPr>
                  <w:t>FABIÁN PUENTES SIERRA</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sz w:val="24"/>
                    <w:szCs w:val="24"/>
                  </w:rPr>
                  <w:t>Partido Político MIRA</w:t>
                </w:r>
              </w:p>
            </w:tc>
            <w:tc>
              <w:tcPr>
                <w:tcW w:w="4425" w:type="dxa"/>
                <w:shd w:val="clear" w:color="auto" w:fill="auto"/>
                <w:tcMar>
                  <w:top w:w="100" w:type="dxa"/>
                  <w:left w:w="100" w:type="dxa"/>
                  <w:bottom w:w="100" w:type="dxa"/>
                  <w:right w:w="100" w:type="dxa"/>
                </w:tcMar>
              </w:tcPr>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b/>
                    <w:sz w:val="24"/>
                    <w:szCs w:val="24"/>
                  </w:rPr>
                  <w:t>SAMIR BEDOYA PIRAQUIVE</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sz w:val="24"/>
                    <w:szCs w:val="24"/>
                  </w:rPr>
                  <w:t>Partido Político MIRA</w:t>
                </w:r>
              </w:p>
            </w:tc>
          </w:tr>
          <w:tr w:rsidR="005E0AA9">
            <w:tc>
              <w:tcPr>
                <w:tcW w:w="4395" w:type="dxa"/>
                <w:shd w:val="clear" w:color="auto" w:fill="auto"/>
                <w:tcMar>
                  <w:top w:w="100" w:type="dxa"/>
                  <w:left w:w="100" w:type="dxa"/>
                  <w:bottom w:w="100" w:type="dxa"/>
                  <w:right w:w="100" w:type="dxa"/>
                </w:tcMar>
              </w:tcPr>
              <w:p w:rsidR="005E0AA9" w:rsidRDefault="005E0AA9">
                <w:pPr>
                  <w:widowControl w:val="0"/>
                  <w:spacing w:after="0" w:line="240" w:lineRule="auto"/>
                  <w:rPr>
                    <w:rFonts w:ascii="Arial" w:eastAsia="Arial" w:hAnsi="Arial" w:cs="Arial"/>
                    <w:sz w:val="24"/>
                    <w:szCs w:val="24"/>
                  </w:rPr>
                </w:pPr>
              </w:p>
            </w:tc>
            <w:tc>
              <w:tcPr>
                <w:tcW w:w="4425" w:type="dxa"/>
                <w:shd w:val="clear" w:color="auto" w:fill="auto"/>
                <w:tcMar>
                  <w:top w:w="100" w:type="dxa"/>
                  <w:left w:w="100" w:type="dxa"/>
                  <w:bottom w:w="100" w:type="dxa"/>
                  <w:right w:w="100" w:type="dxa"/>
                </w:tcMar>
              </w:tcPr>
              <w:p w:rsidR="005E0AA9" w:rsidRDefault="005E0AA9">
                <w:pPr>
                  <w:widowControl w:val="0"/>
                  <w:spacing w:after="0" w:line="240" w:lineRule="auto"/>
                  <w:rPr>
                    <w:rFonts w:ascii="Arial" w:eastAsia="Arial" w:hAnsi="Arial" w:cs="Arial"/>
                    <w:sz w:val="24"/>
                    <w:szCs w:val="24"/>
                  </w:rPr>
                </w:pPr>
              </w:p>
            </w:tc>
          </w:tr>
          <w:tr w:rsidR="005E0AA9">
            <w:tc>
              <w:tcPr>
                <w:tcW w:w="4395" w:type="dxa"/>
                <w:shd w:val="clear" w:color="auto" w:fill="auto"/>
                <w:tcMar>
                  <w:top w:w="100" w:type="dxa"/>
                  <w:left w:w="100" w:type="dxa"/>
                  <w:bottom w:w="100" w:type="dxa"/>
                  <w:right w:w="100" w:type="dxa"/>
                </w:tcMar>
              </w:tcPr>
              <w:p w:rsidR="005E0AA9" w:rsidRDefault="005E0AA9">
                <w:pPr>
                  <w:widowControl w:val="0"/>
                  <w:spacing w:after="0" w:line="240" w:lineRule="auto"/>
                  <w:rPr>
                    <w:rFonts w:ascii="Arial" w:eastAsia="Arial" w:hAnsi="Arial" w:cs="Arial"/>
                    <w:sz w:val="24"/>
                    <w:szCs w:val="24"/>
                  </w:rPr>
                </w:pPr>
              </w:p>
            </w:tc>
            <w:tc>
              <w:tcPr>
                <w:tcW w:w="4425" w:type="dxa"/>
                <w:shd w:val="clear" w:color="auto" w:fill="auto"/>
                <w:tcMar>
                  <w:top w:w="100" w:type="dxa"/>
                  <w:left w:w="100" w:type="dxa"/>
                  <w:bottom w:w="100" w:type="dxa"/>
                  <w:right w:w="100" w:type="dxa"/>
                </w:tcMar>
              </w:tcPr>
              <w:p w:rsidR="005E0AA9" w:rsidRDefault="005E0AA9">
                <w:pPr>
                  <w:widowControl w:val="0"/>
                  <w:spacing w:after="0" w:line="240" w:lineRule="auto"/>
                  <w:rPr>
                    <w:rFonts w:ascii="Arial" w:eastAsia="Arial" w:hAnsi="Arial" w:cs="Arial"/>
                    <w:sz w:val="24"/>
                    <w:szCs w:val="24"/>
                  </w:rPr>
                </w:pPr>
              </w:p>
            </w:tc>
          </w:tr>
          <w:tr w:rsidR="005E0AA9">
            <w:tc>
              <w:tcPr>
                <w:tcW w:w="4395" w:type="dxa"/>
                <w:shd w:val="clear" w:color="auto" w:fill="auto"/>
                <w:tcMar>
                  <w:top w:w="100" w:type="dxa"/>
                  <w:left w:w="100" w:type="dxa"/>
                  <w:bottom w:w="100" w:type="dxa"/>
                  <w:right w:w="100" w:type="dxa"/>
                </w:tcMar>
              </w:tcPr>
              <w:p w:rsidR="005E0AA9" w:rsidRDefault="0000586B">
                <w:pPr>
                  <w:widowControl w:val="0"/>
                  <w:spacing w:after="0" w:line="240" w:lineRule="auto"/>
                  <w:rPr>
                    <w:rFonts w:ascii="Arial" w:eastAsia="Arial" w:hAnsi="Arial" w:cs="Arial"/>
                    <w:b/>
                    <w:sz w:val="24"/>
                    <w:szCs w:val="24"/>
                  </w:rPr>
                </w:pPr>
                <w:r>
                  <w:rPr>
                    <w:rFonts w:ascii="Arial" w:eastAsia="Arial" w:hAnsi="Arial" w:cs="Arial"/>
                    <w:b/>
                    <w:sz w:val="24"/>
                    <w:szCs w:val="24"/>
                  </w:rPr>
                  <w:t>HUMBERTO RAFAEL AMÍN</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sz w:val="24"/>
                    <w:szCs w:val="24"/>
                  </w:rPr>
                  <w:t>Partido Centro Democrático</w:t>
                </w:r>
              </w:p>
            </w:tc>
            <w:tc>
              <w:tcPr>
                <w:tcW w:w="4425" w:type="dxa"/>
                <w:shd w:val="clear" w:color="auto" w:fill="auto"/>
                <w:tcMar>
                  <w:top w:w="100" w:type="dxa"/>
                  <w:left w:w="100" w:type="dxa"/>
                  <w:bottom w:w="100" w:type="dxa"/>
                  <w:right w:w="100" w:type="dxa"/>
                </w:tcMar>
              </w:tcPr>
              <w:p w:rsidR="005E0AA9" w:rsidRDefault="0000586B">
                <w:pPr>
                  <w:widowControl w:val="0"/>
                  <w:spacing w:after="0" w:line="240" w:lineRule="auto"/>
                  <w:rPr>
                    <w:rFonts w:ascii="Arial" w:eastAsia="Arial" w:hAnsi="Arial" w:cs="Arial"/>
                    <w:b/>
                    <w:sz w:val="24"/>
                    <w:szCs w:val="24"/>
                  </w:rPr>
                </w:pPr>
                <w:r>
                  <w:rPr>
                    <w:rFonts w:ascii="Arial" w:eastAsia="Arial" w:hAnsi="Arial" w:cs="Arial"/>
                    <w:b/>
                    <w:sz w:val="24"/>
                    <w:szCs w:val="24"/>
                  </w:rPr>
                  <w:t>EMEL ROJAS CASTILLO</w:t>
                </w:r>
              </w:p>
              <w:p w:rsidR="005E0AA9" w:rsidRDefault="0000586B">
                <w:pPr>
                  <w:widowControl w:val="0"/>
                  <w:spacing w:after="0" w:line="240" w:lineRule="auto"/>
                  <w:jc w:val="both"/>
                  <w:rPr>
                    <w:rFonts w:ascii="Arial" w:eastAsia="Arial" w:hAnsi="Arial" w:cs="Arial"/>
                    <w:sz w:val="24"/>
                    <w:szCs w:val="24"/>
                  </w:rPr>
                </w:pPr>
                <w:r>
                  <w:rPr>
                    <w:rFonts w:ascii="Arial" w:eastAsia="Arial" w:hAnsi="Arial" w:cs="Arial"/>
                    <w:sz w:val="24"/>
                    <w:szCs w:val="24"/>
                  </w:rPr>
                  <w:t>Concejal de Bogotá D.C.</w:t>
                </w:r>
              </w:p>
              <w:p w:rsidR="005E0AA9" w:rsidRDefault="0000586B">
                <w:pPr>
                  <w:widowControl w:val="0"/>
                  <w:spacing w:after="0" w:line="240" w:lineRule="auto"/>
                  <w:jc w:val="both"/>
                  <w:rPr>
                    <w:rFonts w:ascii="Arial" w:eastAsia="Arial" w:hAnsi="Arial" w:cs="Arial"/>
                    <w:b/>
                    <w:sz w:val="24"/>
                    <w:szCs w:val="24"/>
                  </w:rPr>
                </w:pPr>
                <w:r>
                  <w:rPr>
                    <w:rFonts w:ascii="Arial" w:eastAsia="Arial" w:hAnsi="Arial" w:cs="Arial"/>
                    <w:sz w:val="24"/>
                    <w:szCs w:val="24"/>
                  </w:rPr>
                  <w:t>Partido Nueva Fuerza Democrática</w:t>
                </w:r>
              </w:p>
            </w:tc>
          </w:tr>
        </w:tbl>
      </w:sdtContent>
    </w:sdt>
    <w:p w:rsidR="005E0AA9" w:rsidRDefault="005E0AA9">
      <w:pPr>
        <w:spacing w:after="0" w:line="240" w:lineRule="auto"/>
        <w:rPr>
          <w:rFonts w:ascii="Arial" w:eastAsia="Arial" w:hAnsi="Arial" w:cs="Arial"/>
          <w:sz w:val="24"/>
          <w:szCs w:val="24"/>
          <w:highlight w:val="white"/>
        </w:rPr>
      </w:pPr>
    </w:p>
    <w:p w:rsidR="0062655C" w:rsidRDefault="0062655C">
      <w:pPr>
        <w:spacing w:after="0" w:line="240" w:lineRule="auto"/>
        <w:jc w:val="center"/>
        <w:rPr>
          <w:rFonts w:ascii="Arial" w:eastAsia="Arial" w:hAnsi="Arial" w:cs="Arial"/>
          <w:b/>
          <w:sz w:val="24"/>
          <w:szCs w:val="24"/>
          <w:highlight w:val="white"/>
        </w:rPr>
      </w:pPr>
    </w:p>
    <w:p w:rsidR="0062655C" w:rsidRDefault="0062655C">
      <w:pPr>
        <w:spacing w:after="0" w:line="240" w:lineRule="auto"/>
        <w:jc w:val="center"/>
        <w:rPr>
          <w:rFonts w:ascii="Arial" w:eastAsia="Arial" w:hAnsi="Arial" w:cs="Arial"/>
          <w:b/>
          <w:sz w:val="24"/>
          <w:szCs w:val="24"/>
          <w:highlight w:val="white"/>
        </w:rPr>
      </w:pPr>
    </w:p>
    <w:p w:rsidR="0062655C" w:rsidRDefault="0062655C">
      <w:pPr>
        <w:spacing w:after="0" w:line="240" w:lineRule="auto"/>
        <w:jc w:val="center"/>
        <w:rPr>
          <w:rFonts w:ascii="Arial" w:eastAsia="Arial" w:hAnsi="Arial" w:cs="Arial"/>
          <w:b/>
          <w:sz w:val="24"/>
          <w:szCs w:val="24"/>
          <w:highlight w:val="white"/>
        </w:rPr>
      </w:pPr>
    </w:p>
    <w:p w:rsidR="0062655C" w:rsidRDefault="0062655C">
      <w:pPr>
        <w:spacing w:after="0" w:line="240" w:lineRule="auto"/>
        <w:jc w:val="center"/>
        <w:rPr>
          <w:rFonts w:ascii="Arial" w:eastAsia="Arial" w:hAnsi="Arial" w:cs="Arial"/>
          <w:b/>
          <w:sz w:val="24"/>
          <w:szCs w:val="24"/>
          <w:highlight w:val="white"/>
        </w:rPr>
      </w:pPr>
    </w:p>
    <w:p w:rsidR="0062655C" w:rsidRDefault="0062655C">
      <w:pPr>
        <w:spacing w:after="0" w:line="240" w:lineRule="auto"/>
        <w:jc w:val="center"/>
        <w:rPr>
          <w:rFonts w:ascii="Arial" w:eastAsia="Arial" w:hAnsi="Arial" w:cs="Arial"/>
          <w:b/>
          <w:sz w:val="24"/>
          <w:szCs w:val="24"/>
          <w:highlight w:val="white"/>
        </w:rPr>
      </w:pPr>
    </w:p>
    <w:p w:rsidR="0062655C" w:rsidRDefault="0062655C">
      <w:pPr>
        <w:spacing w:after="0" w:line="240" w:lineRule="auto"/>
        <w:jc w:val="center"/>
        <w:rPr>
          <w:rFonts w:ascii="Arial" w:eastAsia="Arial" w:hAnsi="Arial" w:cs="Arial"/>
          <w:b/>
          <w:sz w:val="24"/>
          <w:szCs w:val="24"/>
          <w:highlight w:val="white"/>
        </w:rPr>
      </w:pPr>
    </w:p>
    <w:p w:rsidR="0062655C" w:rsidRDefault="0062655C">
      <w:pPr>
        <w:spacing w:after="0" w:line="240" w:lineRule="auto"/>
        <w:jc w:val="center"/>
        <w:rPr>
          <w:rFonts w:ascii="Arial" w:eastAsia="Arial" w:hAnsi="Arial" w:cs="Arial"/>
          <w:b/>
          <w:sz w:val="24"/>
          <w:szCs w:val="24"/>
          <w:highlight w:val="white"/>
        </w:rPr>
      </w:pPr>
    </w:p>
    <w:p w:rsidR="0062655C" w:rsidRDefault="0062655C">
      <w:pPr>
        <w:spacing w:after="0" w:line="240" w:lineRule="auto"/>
        <w:jc w:val="center"/>
        <w:rPr>
          <w:rFonts w:ascii="Arial" w:eastAsia="Arial" w:hAnsi="Arial" w:cs="Arial"/>
          <w:b/>
          <w:sz w:val="24"/>
          <w:szCs w:val="24"/>
          <w:highlight w:val="white"/>
        </w:rPr>
      </w:pPr>
    </w:p>
    <w:p w:rsidR="0062655C" w:rsidRDefault="0062655C" w:rsidP="0062655C">
      <w:pPr>
        <w:spacing w:after="0" w:line="240" w:lineRule="auto"/>
        <w:rPr>
          <w:rFonts w:ascii="Arial" w:eastAsia="Arial" w:hAnsi="Arial" w:cs="Arial"/>
          <w:b/>
          <w:sz w:val="24"/>
          <w:szCs w:val="24"/>
          <w:highlight w:val="white"/>
        </w:rPr>
      </w:pPr>
    </w:p>
    <w:p w:rsidR="0062655C" w:rsidRDefault="0062655C">
      <w:pPr>
        <w:spacing w:after="0" w:line="240" w:lineRule="auto"/>
        <w:jc w:val="center"/>
        <w:rPr>
          <w:rFonts w:ascii="Arial" w:eastAsia="Arial" w:hAnsi="Arial" w:cs="Arial"/>
          <w:b/>
          <w:sz w:val="24"/>
          <w:szCs w:val="24"/>
          <w:highlight w:val="white"/>
        </w:rPr>
      </w:pPr>
    </w:p>
    <w:p w:rsidR="00E66905" w:rsidRDefault="00E66905">
      <w:pPr>
        <w:spacing w:after="0" w:line="240" w:lineRule="auto"/>
        <w:jc w:val="center"/>
        <w:rPr>
          <w:rFonts w:ascii="Arial" w:eastAsia="Arial" w:hAnsi="Arial" w:cs="Arial"/>
          <w:b/>
          <w:sz w:val="24"/>
          <w:szCs w:val="24"/>
          <w:highlight w:val="white"/>
        </w:rPr>
      </w:pPr>
    </w:p>
    <w:p w:rsidR="00E66905" w:rsidRDefault="00E66905">
      <w:pPr>
        <w:spacing w:after="0" w:line="240" w:lineRule="auto"/>
        <w:jc w:val="center"/>
        <w:rPr>
          <w:rFonts w:ascii="Arial" w:eastAsia="Arial" w:hAnsi="Arial" w:cs="Arial"/>
          <w:b/>
          <w:sz w:val="24"/>
          <w:szCs w:val="24"/>
          <w:highlight w:val="white"/>
        </w:rPr>
      </w:pPr>
    </w:p>
    <w:p w:rsidR="00E66905" w:rsidRDefault="00E66905">
      <w:pPr>
        <w:spacing w:after="0" w:line="240" w:lineRule="auto"/>
        <w:jc w:val="center"/>
        <w:rPr>
          <w:rFonts w:ascii="Arial" w:eastAsia="Arial" w:hAnsi="Arial" w:cs="Arial"/>
          <w:b/>
          <w:sz w:val="24"/>
          <w:szCs w:val="24"/>
          <w:highlight w:val="white"/>
        </w:rPr>
      </w:pPr>
    </w:p>
    <w:p w:rsidR="0062655C" w:rsidRDefault="0062655C">
      <w:pPr>
        <w:spacing w:after="0" w:line="240" w:lineRule="auto"/>
        <w:jc w:val="center"/>
        <w:rPr>
          <w:rFonts w:ascii="Arial" w:eastAsia="Arial" w:hAnsi="Arial" w:cs="Arial"/>
          <w:b/>
          <w:sz w:val="24"/>
          <w:szCs w:val="24"/>
          <w:highlight w:val="white"/>
        </w:rPr>
      </w:pPr>
    </w:p>
    <w:p w:rsidR="0062655C" w:rsidRDefault="0062655C">
      <w:pPr>
        <w:spacing w:after="0" w:line="240" w:lineRule="auto"/>
        <w:jc w:val="center"/>
        <w:rPr>
          <w:rFonts w:ascii="Arial" w:eastAsia="Arial" w:hAnsi="Arial" w:cs="Arial"/>
          <w:b/>
          <w:sz w:val="24"/>
          <w:szCs w:val="24"/>
          <w:highlight w:val="white"/>
        </w:rPr>
      </w:pPr>
    </w:p>
    <w:p w:rsidR="005E0AA9" w:rsidRDefault="0000586B">
      <w:pPr>
        <w:spacing w:after="0" w:line="240" w:lineRule="auto"/>
        <w:jc w:val="center"/>
        <w:rPr>
          <w:rFonts w:ascii="Arial" w:eastAsia="Arial" w:hAnsi="Arial" w:cs="Arial"/>
          <w:b/>
          <w:sz w:val="24"/>
          <w:szCs w:val="24"/>
          <w:highlight w:val="white"/>
        </w:rPr>
      </w:pPr>
      <w:r>
        <w:rPr>
          <w:rFonts w:ascii="Arial" w:eastAsia="Arial" w:hAnsi="Arial" w:cs="Arial"/>
          <w:b/>
          <w:sz w:val="24"/>
          <w:szCs w:val="24"/>
          <w:highlight w:val="white"/>
        </w:rPr>
        <w:t>Proyecto de Acuerdo No___ de 2025</w:t>
      </w:r>
    </w:p>
    <w:p w:rsidR="005E0AA9" w:rsidRDefault="005E0AA9">
      <w:pPr>
        <w:spacing w:after="0" w:line="240" w:lineRule="auto"/>
        <w:jc w:val="both"/>
        <w:rPr>
          <w:rFonts w:ascii="Arial" w:eastAsia="Arial" w:hAnsi="Arial" w:cs="Arial"/>
          <w:sz w:val="24"/>
          <w:szCs w:val="24"/>
          <w:highlight w:val="white"/>
        </w:rPr>
      </w:pPr>
    </w:p>
    <w:p w:rsidR="005E0AA9" w:rsidRDefault="0000586B">
      <w:pPr>
        <w:spacing w:after="0" w:line="240" w:lineRule="auto"/>
        <w:jc w:val="center"/>
        <w:rPr>
          <w:rFonts w:ascii="Arial" w:eastAsia="Arial" w:hAnsi="Arial" w:cs="Arial"/>
          <w:b/>
          <w:sz w:val="24"/>
          <w:szCs w:val="24"/>
        </w:rPr>
      </w:pPr>
      <w:r>
        <w:rPr>
          <w:rFonts w:ascii="Arial" w:eastAsia="Arial" w:hAnsi="Arial" w:cs="Arial"/>
          <w:b/>
          <w:sz w:val="24"/>
          <w:szCs w:val="24"/>
          <w:highlight w:val="white"/>
        </w:rPr>
        <w:t>“Por medio del cual se establecen lineamientos para la Prevención del Reclutamiento, Utilización, Uso, Violencia y Explotación Sexual en contra de Niños, Niñas, Adolescentes y Jóvenes (NNAJ) por parte de Grupos Armados Organizados (GAO) y Grupos Delictivos Organizados (GDO) en el Distrito Capital”</w:t>
      </w:r>
    </w:p>
    <w:p w:rsidR="005E0AA9" w:rsidRDefault="0000586B">
      <w:pPr>
        <w:spacing w:after="0" w:line="240" w:lineRule="auto"/>
        <w:jc w:val="both"/>
        <w:rPr>
          <w:rFonts w:ascii="Arial" w:eastAsia="Arial" w:hAnsi="Arial" w:cs="Arial"/>
          <w:sz w:val="24"/>
          <w:szCs w:val="24"/>
        </w:rPr>
      </w:pPr>
      <w:r>
        <w:rPr>
          <w:rFonts w:ascii="Arial" w:eastAsia="Arial" w:hAnsi="Arial" w:cs="Arial"/>
          <w:sz w:val="24"/>
          <w:szCs w:val="24"/>
        </w:rPr>
        <w:br/>
      </w: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b/>
          <w:sz w:val="24"/>
          <w:szCs w:val="24"/>
          <w:highlight w:val="white"/>
        </w:rPr>
        <w:t>ARTÍCULO</w:t>
      </w:r>
      <w:r>
        <w:rPr>
          <w:rFonts w:ascii="Arial" w:eastAsia="Arial" w:hAnsi="Arial" w:cs="Arial"/>
          <w:b/>
          <w:sz w:val="24"/>
          <w:szCs w:val="24"/>
        </w:rPr>
        <w:t> </w:t>
      </w:r>
      <w:r>
        <w:rPr>
          <w:rFonts w:ascii="Arial" w:eastAsia="Arial" w:hAnsi="Arial" w:cs="Arial"/>
          <w:b/>
          <w:sz w:val="24"/>
          <w:szCs w:val="24"/>
          <w:highlight w:val="white"/>
        </w:rPr>
        <w:t> 1. OBJETO.</w:t>
      </w:r>
      <w:r>
        <w:rPr>
          <w:rFonts w:ascii="Arial" w:eastAsia="Arial" w:hAnsi="Arial" w:cs="Arial"/>
          <w:sz w:val="24"/>
          <w:szCs w:val="24"/>
          <w:highlight w:val="white"/>
        </w:rPr>
        <w:t xml:space="preserve"> En el marco de la Política Pública de Primera Infancia, Infancia y Adolescencia 2023-2033, y la Política Pública Distrital de Juventud 2019–2030, así como las demás normas que las modifiquen, deroguen, sustituyan o actualicen, se establecen lineamientos para prevenir el reclutamiento, utilización, uso, violencia y explotación sexual en contra de niños, niñas, adolescentes y jóvenes (NNAJ) por parte de grupos armados organizados (GAO) y grupos delictivos organizados (GDO) en Bogotá D.C., a través de la identificación temprana de riesgos, la promoción de entornos protectores, la articulación interinstitucional y estrategias de monitoreo y evaluación.</w:t>
      </w:r>
    </w:p>
    <w:p w:rsidR="005E0AA9" w:rsidRDefault="005E0AA9">
      <w:pPr>
        <w:spacing w:after="0" w:line="240" w:lineRule="auto"/>
        <w:jc w:val="both"/>
        <w:rPr>
          <w:rFonts w:ascii="Arial" w:eastAsia="Arial" w:hAnsi="Arial" w:cs="Arial"/>
          <w:sz w:val="24"/>
          <w:szCs w:val="24"/>
          <w:highlight w:val="white"/>
        </w:rPr>
      </w:pP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sz w:val="24"/>
          <w:szCs w:val="24"/>
          <w:highlight w:val="white"/>
        </w:rPr>
        <w:t xml:space="preserve">Se propenderá por que estas acciones estén fundamentadas en las mejores prácticas nacionales e internacionales basadas en evidencia rigurosa. </w:t>
      </w:r>
    </w:p>
    <w:p w:rsidR="005E0AA9" w:rsidRDefault="005E0AA9">
      <w:pPr>
        <w:spacing w:after="0" w:line="240" w:lineRule="auto"/>
        <w:jc w:val="both"/>
        <w:rPr>
          <w:rFonts w:ascii="Arial" w:eastAsia="Arial" w:hAnsi="Arial" w:cs="Arial"/>
          <w:sz w:val="24"/>
          <w:szCs w:val="24"/>
          <w:highlight w:val="white"/>
        </w:rPr>
      </w:pP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b/>
          <w:sz w:val="24"/>
          <w:szCs w:val="24"/>
          <w:highlight w:val="white"/>
        </w:rPr>
        <w:t>ARTÍCULO 2. DEFINICIONES.</w:t>
      </w:r>
      <w:r>
        <w:rPr>
          <w:rFonts w:ascii="Arial" w:eastAsia="Arial" w:hAnsi="Arial" w:cs="Arial"/>
          <w:sz w:val="24"/>
          <w:szCs w:val="24"/>
          <w:highlight w:val="white"/>
        </w:rPr>
        <w:t xml:space="preserve"> Para efectos del presente Acuerdo y su reglamentación, se tendrán en cuenta las siguientes definiciones, algunas de ellas dispuestas en la Línea de Política Pública de Prevención del Reclutamiento, Utilización, Uso y Violencia Sexual contra NNA por parte de GAO y GDO del Ministerio de Justicia. </w:t>
      </w:r>
    </w:p>
    <w:p w:rsidR="005E0AA9" w:rsidRDefault="005E0AA9">
      <w:pPr>
        <w:spacing w:after="0" w:line="240" w:lineRule="auto"/>
        <w:jc w:val="both"/>
        <w:rPr>
          <w:rFonts w:ascii="Arial" w:eastAsia="Arial" w:hAnsi="Arial" w:cs="Arial"/>
          <w:sz w:val="24"/>
          <w:szCs w:val="24"/>
          <w:highlight w:val="white"/>
        </w:rPr>
      </w:pP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b/>
          <w:sz w:val="24"/>
          <w:szCs w:val="24"/>
          <w:highlight w:val="white"/>
        </w:rPr>
        <w:t>a. Reclutamiento de NNAJ:</w:t>
      </w:r>
      <w:r>
        <w:rPr>
          <w:rFonts w:ascii="Arial" w:eastAsia="Arial" w:hAnsi="Arial" w:cs="Arial"/>
          <w:sz w:val="24"/>
          <w:szCs w:val="24"/>
          <w:highlight w:val="white"/>
        </w:rPr>
        <w:t xml:space="preserve"> Separación física del entorno familiar y comunitario para la participación directa de NNAJ en actividades bélicas, militares o tácticas, de sustento o cualquier otro rol en relación con los combatientes de los GAO y GDO. En el Auto 251 de 2008, la Corte Constitucional señaló que todo reclutamiento es un acto de carácter coercitivo. El Código Penal Colombiano, en su artículo 162, tipifica esta conducta como el delito de “reclutamiento ilícito”.</w:t>
      </w:r>
    </w:p>
    <w:p w:rsidR="005E0AA9" w:rsidRDefault="005E0AA9">
      <w:pPr>
        <w:spacing w:after="0" w:line="240" w:lineRule="auto"/>
        <w:jc w:val="both"/>
        <w:rPr>
          <w:rFonts w:ascii="Arial" w:eastAsia="Arial" w:hAnsi="Arial" w:cs="Arial"/>
          <w:sz w:val="24"/>
          <w:szCs w:val="24"/>
          <w:highlight w:val="white"/>
        </w:rPr>
      </w:pP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b/>
          <w:sz w:val="24"/>
          <w:szCs w:val="24"/>
          <w:highlight w:val="white"/>
        </w:rPr>
        <w:t>b. Utilización de NNAJ:</w:t>
      </w:r>
      <w:r>
        <w:rPr>
          <w:rFonts w:ascii="Arial" w:eastAsia="Arial" w:hAnsi="Arial" w:cs="Arial"/>
          <w:sz w:val="24"/>
          <w:szCs w:val="24"/>
          <w:highlight w:val="white"/>
        </w:rPr>
        <w:t xml:space="preserve"> Participación indirecta de NNAJ en otras formas de vinculación, sea permanente u ocasional, en los GAO o GDO sin ser separados de su entorno familiar y comunitario, y que están relacionadas directamente con diferentes fines, sean de carácter ilegal o informal.</w:t>
      </w:r>
    </w:p>
    <w:p w:rsidR="005E0AA9" w:rsidRDefault="005E0AA9">
      <w:pPr>
        <w:spacing w:after="0" w:line="240" w:lineRule="auto"/>
        <w:jc w:val="both"/>
        <w:rPr>
          <w:rFonts w:ascii="Arial" w:eastAsia="Arial" w:hAnsi="Arial" w:cs="Arial"/>
          <w:sz w:val="24"/>
          <w:szCs w:val="24"/>
          <w:highlight w:val="white"/>
        </w:rPr>
      </w:pP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b/>
          <w:sz w:val="24"/>
          <w:szCs w:val="24"/>
          <w:highlight w:val="white"/>
        </w:rPr>
        <w:t>c. Uso de NNAJ:</w:t>
      </w:r>
      <w:r>
        <w:rPr>
          <w:rFonts w:ascii="Arial" w:eastAsia="Arial" w:hAnsi="Arial" w:cs="Arial"/>
          <w:sz w:val="24"/>
          <w:szCs w:val="24"/>
          <w:highlight w:val="white"/>
        </w:rPr>
        <w:t xml:space="preserve"> Prácticas o comportamientos de quien induzca, facilite, utilice, constriña, promueva o instrumentalice a los NNAJ para que intervengan en cualquier actividad ilegal de los GAO o GDO, recurriendo a cualquier forma de violencia, amenaza, coerción o engaño que conlleve a la vulneración o falta de garantía de sus derechos, con el propósito de obtener provecho económico o cualquier otro beneficio. El Código Penal Colombiano, en su artículo 188 D, tipifica esta conducta como el delito de “uso de menores de edad para la comisión de delitos”.</w:t>
      </w:r>
    </w:p>
    <w:p w:rsidR="005E0AA9" w:rsidRDefault="005E0AA9">
      <w:pPr>
        <w:spacing w:after="0" w:line="240" w:lineRule="auto"/>
        <w:jc w:val="both"/>
        <w:rPr>
          <w:rFonts w:ascii="Arial" w:eastAsia="Arial" w:hAnsi="Arial" w:cs="Arial"/>
          <w:sz w:val="24"/>
          <w:szCs w:val="24"/>
          <w:highlight w:val="white"/>
        </w:rPr>
      </w:pP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b/>
          <w:sz w:val="24"/>
          <w:szCs w:val="24"/>
          <w:highlight w:val="white"/>
        </w:rPr>
        <w:t>d. Violencia sexual contra NNAJ:</w:t>
      </w:r>
      <w:r>
        <w:rPr>
          <w:rFonts w:ascii="Arial" w:eastAsia="Arial" w:hAnsi="Arial" w:cs="Arial"/>
          <w:sz w:val="24"/>
          <w:szCs w:val="24"/>
          <w:highlight w:val="white"/>
        </w:rPr>
        <w:t xml:space="preserve"> En concordancia con el artículo 2° de la Ley 1146 de 2007, es todo acto o comportamiento de tipo sexual ejercido sobre un NNA, utilizando la fuerza o cualquier forma de coerción física, psicológica o emocional, aprovechando las condiciones de indefensión, de desigualdad y las relaciones de poder existentes entre víctima y agresor, particularmente la ejercida por GAO y GDO. </w:t>
      </w:r>
    </w:p>
    <w:p w:rsidR="005E0AA9" w:rsidRDefault="005E0AA9">
      <w:pPr>
        <w:spacing w:after="0" w:line="240" w:lineRule="auto"/>
        <w:jc w:val="both"/>
        <w:rPr>
          <w:rFonts w:ascii="Arial" w:eastAsia="Arial" w:hAnsi="Arial" w:cs="Arial"/>
          <w:sz w:val="24"/>
          <w:szCs w:val="24"/>
          <w:highlight w:val="white"/>
        </w:rPr>
      </w:pP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sz w:val="24"/>
          <w:szCs w:val="24"/>
          <w:highlight w:val="white"/>
        </w:rPr>
        <w:t xml:space="preserve">La Corte Constitucional en el Auto 092 de 2008 identifica que la violencia sexual contra jóvenes y niñas reclutadas por los GAO “incluye en forma reiterada y sistemática: (i) la violación, (ii) la planificación reproductiva forzada, (iii) la esclavización y explotación sexual, (iv) la prostitución forzada, (v) el abuso sexual, (vi) la esclavización sexual por parte de los jefes o comandantes, (vii) el embarazo forzado, (viii) el aborto forzado y (ix) el contagio de infecciones de transmisión sexual”. </w:t>
      </w:r>
    </w:p>
    <w:p w:rsidR="005E0AA9" w:rsidRDefault="005E0AA9">
      <w:pPr>
        <w:spacing w:after="0" w:line="240" w:lineRule="auto"/>
        <w:jc w:val="both"/>
        <w:rPr>
          <w:rFonts w:ascii="Arial" w:eastAsia="Arial" w:hAnsi="Arial" w:cs="Arial"/>
          <w:sz w:val="24"/>
          <w:szCs w:val="24"/>
          <w:highlight w:val="white"/>
        </w:rPr>
      </w:pP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b/>
          <w:sz w:val="24"/>
          <w:szCs w:val="24"/>
          <w:highlight w:val="white"/>
        </w:rPr>
        <w:t xml:space="preserve">e. Explotación sexual de NNAJ: </w:t>
      </w:r>
      <w:r>
        <w:rPr>
          <w:rFonts w:ascii="Arial" w:eastAsia="Arial" w:hAnsi="Arial" w:cs="Arial"/>
          <w:sz w:val="24"/>
          <w:szCs w:val="24"/>
          <w:highlight w:val="white"/>
        </w:rPr>
        <w:t>Comprende el abuso sexual por parte de adultos y la remuneración en metálico o en especie a los NNAJ y a terceros. El NNAJ es tratado como un objeto sexual y una mercancía. La explotación sexual comercial constituye una forma de coerción y violencia contra esta población. Este delito se encuentra tipificado en el capítulo IV del Código Penal Colombiano.</w:t>
      </w:r>
    </w:p>
    <w:p w:rsidR="005E0AA9" w:rsidRDefault="005E0AA9">
      <w:pPr>
        <w:spacing w:after="0" w:line="240" w:lineRule="auto"/>
        <w:jc w:val="both"/>
        <w:rPr>
          <w:rFonts w:ascii="Arial" w:eastAsia="Arial" w:hAnsi="Arial" w:cs="Arial"/>
          <w:sz w:val="24"/>
          <w:szCs w:val="24"/>
          <w:highlight w:val="white"/>
        </w:rPr>
      </w:pP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b/>
          <w:sz w:val="24"/>
          <w:szCs w:val="24"/>
          <w:highlight w:val="white"/>
        </w:rPr>
        <w:t>ARTÍCULO</w:t>
      </w:r>
      <w:r>
        <w:rPr>
          <w:rFonts w:ascii="Arial" w:eastAsia="Arial" w:hAnsi="Arial" w:cs="Arial"/>
          <w:b/>
          <w:sz w:val="24"/>
          <w:szCs w:val="24"/>
        </w:rPr>
        <w:t> </w:t>
      </w:r>
      <w:r>
        <w:rPr>
          <w:rFonts w:ascii="Arial" w:eastAsia="Arial" w:hAnsi="Arial" w:cs="Arial"/>
          <w:b/>
          <w:sz w:val="24"/>
          <w:szCs w:val="24"/>
          <w:highlight w:val="white"/>
        </w:rPr>
        <w:t xml:space="preserve"> 3. ENFOQUES. </w:t>
      </w:r>
      <w:r>
        <w:rPr>
          <w:rFonts w:ascii="Arial" w:eastAsia="Arial" w:hAnsi="Arial" w:cs="Arial"/>
          <w:sz w:val="24"/>
          <w:szCs w:val="24"/>
          <w:highlight w:val="white"/>
        </w:rPr>
        <w:t xml:space="preserve">Los lineamientos promovidos por el presente Acuerdo contarán con los siguientes enfoques, algunos de ellos dispuestos en la Línea de Política Pública de Prevención del Reclutamiento, Utilización, Uso y Violencia Sexual contra NNA por parte de GAO y GDO del Ministerio de Justicia. </w:t>
      </w:r>
    </w:p>
    <w:p w:rsidR="005E0AA9" w:rsidRDefault="005E0AA9">
      <w:pPr>
        <w:spacing w:after="0" w:line="240" w:lineRule="auto"/>
        <w:jc w:val="both"/>
        <w:rPr>
          <w:rFonts w:ascii="Arial" w:eastAsia="Arial" w:hAnsi="Arial" w:cs="Arial"/>
          <w:sz w:val="24"/>
          <w:szCs w:val="24"/>
          <w:highlight w:val="white"/>
        </w:rPr>
      </w:pP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b/>
          <w:sz w:val="24"/>
          <w:szCs w:val="24"/>
          <w:highlight w:val="white"/>
        </w:rPr>
        <w:t>a. Acción sin daño:</w:t>
      </w:r>
      <w:r>
        <w:rPr>
          <w:rFonts w:ascii="Arial" w:eastAsia="Arial" w:hAnsi="Arial" w:cs="Arial"/>
          <w:sz w:val="24"/>
          <w:szCs w:val="24"/>
          <w:highlight w:val="white"/>
        </w:rPr>
        <w:t xml:space="preserve"> Conjunto de acciones que previenen la retraumatización y la revictimización, cuidando que al NNAJ atendido no se le generen más lesiones emocionales a través de la intervención.</w:t>
      </w:r>
    </w:p>
    <w:p w:rsidR="005E0AA9" w:rsidRDefault="005E0AA9">
      <w:pPr>
        <w:spacing w:after="0" w:line="240" w:lineRule="auto"/>
        <w:jc w:val="both"/>
        <w:rPr>
          <w:rFonts w:ascii="Arial" w:eastAsia="Arial" w:hAnsi="Arial" w:cs="Arial"/>
          <w:b/>
          <w:sz w:val="24"/>
          <w:szCs w:val="24"/>
          <w:highlight w:val="white"/>
        </w:rPr>
      </w:pP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b/>
          <w:sz w:val="24"/>
          <w:szCs w:val="24"/>
          <w:highlight w:val="white"/>
        </w:rPr>
        <w:t xml:space="preserve">b. Comunitario: </w:t>
      </w:r>
      <w:r>
        <w:rPr>
          <w:rFonts w:ascii="Arial" w:eastAsia="Arial" w:hAnsi="Arial" w:cs="Arial"/>
          <w:sz w:val="24"/>
          <w:szCs w:val="24"/>
          <w:highlight w:val="white"/>
        </w:rPr>
        <w:t>Está dirigido a reforzar y expandir las redes comunitarias territoriales existentes y alentar la participación sustantiva de las comunidades en la toma de decisiones para el fortalecimiento de la identidad del bienestar colectivo y la prevención del reclutamiento, utilización, uso, violencia y explotación sexual en NNAJ.</w:t>
      </w:r>
      <w:r>
        <w:rPr>
          <w:rFonts w:ascii="Arial" w:eastAsia="Arial" w:hAnsi="Arial" w:cs="Arial"/>
          <w:sz w:val="24"/>
          <w:szCs w:val="24"/>
          <w:highlight w:val="white"/>
        </w:rPr>
        <w:br/>
      </w: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b/>
          <w:sz w:val="24"/>
          <w:szCs w:val="24"/>
          <w:highlight w:val="white"/>
        </w:rPr>
        <w:t>c. Derechos Humanos:</w:t>
      </w:r>
      <w:r>
        <w:rPr>
          <w:rFonts w:ascii="Arial" w:eastAsia="Arial" w:hAnsi="Arial" w:cs="Arial"/>
          <w:sz w:val="24"/>
          <w:szCs w:val="24"/>
          <w:highlight w:val="white"/>
        </w:rPr>
        <w:t xml:space="preserve"> Las actuaciones deberán observar la prevención, protección, promoción, garantía, restablecimiento y el goce efectivo de los derechos de los NNAJ, sin discriminación por razones de sexo, pertenencia étnica, edad, discapacidad, orientación sexual, identidad de género o ser víctima del conflicto armado, entre otras. Los NNAJ son titulares de derechos y, por lo tanto, pueden exigirlos ante otras personas, las instituciones y el Estado.</w:t>
      </w:r>
    </w:p>
    <w:p w:rsidR="005E0AA9" w:rsidRDefault="005E0AA9">
      <w:pPr>
        <w:spacing w:after="0" w:line="240" w:lineRule="auto"/>
        <w:jc w:val="both"/>
        <w:rPr>
          <w:rFonts w:ascii="Arial" w:eastAsia="Arial" w:hAnsi="Arial" w:cs="Arial"/>
          <w:sz w:val="24"/>
          <w:szCs w:val="24"/>
          <w:highlight w:val="white"/>
        </w:rPr>
      </w:pP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b/>
          <w:sz w:val="24"/>
          <w:szCs w:val="24"/>
          <w:highlight w:val="white"/>
        </w:rPr>
        <w:t>d. Diferencial:</w:t>
      </w:r>
      <w:r>
        <w:rPr>
          <w:rFonts w:ascii="Arial" w:eastAsia="Arial" w:hAnsi="Arial" w:cs="Arial"/>
          <w:sz w:val="24"/>
          <w:szCs w:val="24"/>
          <w:highlight w:val="white"/>
        </w:rPr>
        <w:t xml:space="preserve"> Reconoce las diversidades, desigualdades e inequidades sociales, culturales y económicas de diferentes grupos humanos en razón de la articulación de categorías y variables como el género, la edad, la etnia, la orientación sexual, la discapacidad, la ubicación en el sector rural o urbano marginal, o estar en situaciones que incrementan las vulnerabilidades como el desplazamiento forzado, entre otros, con el propósito de brindar una adecuada atención basada en las necesidades e intereses particulares y fortalecer el empoderamiento de dichos grupos, así como proteger y garantizar sus derechos humanos.</w:t>
      </w:r>
    </w:p>
    <w:p w:rsidR="005E0AA9" w:rsidRDefault="005E0AA9">
      <w:pPr>
        <w:spacing w:after="0" w:line="240" w:lineRule="auto"/>
        <w:jc w:val="both"/>
        <w:rPr>
          <w:rFonts w:ascii="Arial" w:eastAsia="Arial" w:hAnsi="Arial" w:cs="Arial"/>
          <w:sz w:val="24"/>
          <w:szCs w:val="24"/>
          <w:highlight w:val="white"/>
        </w:rPr>
      </w:pP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b/>
          <w:sz w:val="24"/>
          <w:szCs w:val="24"/>
          <w:highlight w:val="white"/>
        </w:rPr>
        <w:t>e. Interseccionalidad:</w:t>
      </w:r>
      <w:r>
        <w:rPr>
          <w:rFonts w:ascii="Arial" w:eastAsia="Arial" w:hAnsi="Arial" w:cs="Arial"/>
          <w:sz w:val="24"/>
          <w:szCs w:val="24"/>
          <w:highlight w:val="white"/>
        </w:rPr>
        <w:t xml:space="preserve"> Subraya que el género, la etnia, la cultura, el nivel socioeconómico, la orientación sexual, como otras categorías sociales, están interrelacionadas: en un mismo sujeto social pueden cruzarse diversas formas de discriminación. Así, un NNAJ puede estar trazado por diferentes fuentes estructurales de desigualdad (como por ejemplo, pertenecer a un grupo étnico, tener una orientación sexual diversa y tener algún grado de discapacidad). </w:t>
      </w:r>
    </w:p>
    <w:p w:rsidR="005E0AA9" w:rsidRDefault="005E0AA9">
      <w:pPr>
        <w:spacing w:after="0" w:line="240" w:lineRule="auto"/>
        <w:jc w:val="both"/>
        <w:rPr>
          <w:rFonts w:ascii="Arial" w:eastAsia="Arial" w:hAnsi="Arial" w:cs="Arial"/>
          <w:sz w:val="24"/>
          <w:szCs w:val="24"/>
          <w:highlight w:val="white"/>
        </w:rPr>
      </w:pP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b/>
          <w:sz w:val="24"/>
          <w:szCs w:val="24"/>
          <w:highlight w:val="white"/>
        </w:rPr>
        <w:t>f. Territorial:</w:t>
      </w:r>
      <w:r>
        <w:rPr>
          <w:rFonts w:ascii="Arial" w:eastAsia="Arial" w:hAnsi="Arial" w:cs="Arial"/>
          <w:sz w:val="24"/>
          <w:szCs w:val="24"/>
          <w:highlight w:val="white"/>
        </w:rPr>
        <w:t xml:space="preserve"> Brinda orientación integral y diferenciada, basada en el reconocimiento de relaciones entre las diferentes dimensiones del territorio (poblacional, espacial, económica, social, ambiental e institucional) y de los atributos específicos de cada región o ámbito territorial.</w:t>
      </w:r>
    </w:p>
    <w:p w:rsidR="005E0AA9" w:rsidRDefault="005E0AA9">
      <w:pPr>
        <w:spacing w:after="0" w:line="240" w:lineRule="auto"/>
        <w:jc w:val="both"/>
        <w:rPr>
          <w:rFonts w:ascii="Arial" w:eastAsia="Arial" w:hAnsi="Arial" w:cs="Arial"/>
          <w:sz w:val="24"/>
          <w:szCs w:val="24"/>
          <w:highlight w:val="white"/>
        </w:rPr>
      </w:pP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b/>
          <w:sz w:val="24"/>
          <w:szCs w:val="24"/>
          <w:highlight w:val="white"/>
        </w:rPr>
        <w:t>ARTÍCULO 4</w:t>
      </w:r>
      <w:r>
        <w:rPr>
          <w:rFonts w:ascii="Arial" w:eastAsia="Arial" w:hAnsi="Arial" w:cs="Arial"/>
          <w:sz w:val="24"/>
          <w:szCs w:val="24"/>
          <w:highlight w:val="white"/>
        </w:rPr>
        <w:t xml:space="preserve">. </w:t>
      </w:r>
      <w:r>
        <w:rPr>
          <w:rFonts w:ascii="Arial" w:eastAsia="Arial" w:hAnsi="Arial" w:cs="Arial"/>
          <w:b/>
          <w:sz w:val="24"/>
          <w:szCs w:val="24"/>
          <w:highlight w:val="white"/>
        </w:rPr>
        <w:t>COMPETENCIA.</w:t>
      </w:r>
      <w:r>
        <w:rPr>
          <w:rFonts w:ascii="Arial" w:eastAsia="Arial" w:hAnsi="Arial" w:cs="Arial"/>
          <w:sz w:val="24"/>
          <w:szCs w:val="24"/>
          <w:highlight w:val="white"/>
        </w:rPr>
        <w:t xml:space="preserve"> La Administración Distrital, en cabeza de las entidades competentes, y  en coordinación con autoridades locales, organismos internacionales, organizaciones sociales y comunidades, implementará los lineamientos establecidos en este Acuerdo.</w:t>
      </w:r>
    </w:p>
    <w:p w:rsidR="005E0AA9" w:rsidRDefault="005E0AA9">
      <w:pPr>
        <w:spacing w:after="0" w:line="240" w:lineRule="auto"/>
        <w:jc w:val="both"/>
        <w:rPr>
          <w:rFonts w:ascii="Arial" w:eastAsia="Arial" w:hAnsi="Arial" w:cs="Arial"/>
          <w:sz w:val="24"/>
          <w:szCs w:val="24"/>
          <w:highlight w:val="white"/>
        </w:rPr>
      </w:pPr>
    </w:p>
    <w:p w:rsidR="005E0AA9" w:rsidRDefault="0000586B">
      <w:pPr>
        <w:spacing w:after="0" w:line="240" w:lineRule="auto"/>
        <w:jc w:val="both"/>
        <w:rPr>
          <w:rFonts w:ascii="Arial" w:eastAsia="Arial" w:hAnsi="Arial" w:cs="Arial"/>
          <w:sz w:val="24"/>
          <w:szCs w:val="24"/>
        </w:rPr>
      </w:pPr>
      <w:r>
        <w:rPr>
          <w:rFonts w:ascii="Arial" w:eastAsia="Arial" w:hAnsi="Arial" w:cs="Arial"/>
          <w:b/>
          <w:sz w:val="24"/>
          <w:szCs w:val="24"/>
          <w:highlight w:val="white"/>
        </w:rPr>
        <w:t xml:space="preserve">PARÁGRAFO. </w:t>
      </w:r>
      <w:r>
        <w:rPr>
          <w:rFonts w:ascii="Arial" w:eastAsia="Arial" w:hAnsi="Arial" w:cs="Arial"/>
          <w:sz w:val="24"/>
          <w:szCs w:val="24"/>
          <w:highlight w:val="white"/>
        </w:rPr>
        <w:t>Se propenderá por articular todos los lineamientos y acciones, por lo menos con: la Dirección de Derechos Humanos de la Secretaría Distrital de Gobierno; la</w:t>
      </w:r>
      <w:r>
        <w:rPr>
          <w:rFonts w:ascii="Arial" w:eastAsia="Arial" w:hAnsi="Arial" w:cs="Arial"/>
          <w:sz w:val="24"/>
          <w:szCs w:val="24"/>
        </w:rPr>
        <w:t xml:space="preserve"> Comisión Intersectorial de Acción Integral en Seguridad, Convivencia y Acceso a la Justicia; el Consejo Consultivo Distrital de Niños, Niñas y Adolescentes; el Consejo Distrital de Juventud; la Mesa de Prevención del Reclutamiento, Uso y Utilización de Niños, Niñas y Adolescentes; y el Instituto Colombiano de Bienestar Familiar (ICBF).</w:t>
      </w:r>
    </w:p>
    <w:p w:rsidR="005E0AA9" w:rsidRDefault="005E0AA9">
      <w:pPr>
        <w:spacing w:after="0" w:line="240" w:lineRule="auto"/>
        <w:jc w:val="both"/>
        <w:rPr>
          <w:rFonts w:ascii="Arial" w:eastAsia="Arial" w:hAnsi="Arial" w:cs="Arial"/>
          <w:sz w:val="24"/>
          <w:szCs w:val="24"/>
        </w:rPr>
      </w:pPr>
    </w:p>
    <w:p w:rsidR="005E0AA9" w:rsidRDefault="0000586B">
      <w:pPr>
        <w:pBdr>
          <w:top w:val="nil"/>
          <w:left w:val="nil"/>
          <w:bottom w:val="nil"/>
          <w:right w:val="nil"/>
          <w:between w:val="nil"/>
        </w:pBdr>
        <w:spacing w:after="0" w:line="240" w:lineRule="auto"/>
        <w:jc w:val="both"/>
        <w:rPr>
          <w:rFonts w:ascii="Arial" w:eastAsia="Arial" w:hAnsi="Arial" w:cs="Arial"/>
          <w:sz w:val="24"/>
          <w:szCs w:val="24"/>
          <w:highlight w:val="white"/>
        </w:rPr>
      </w:pPr>
      <w:r>
        <w:rPr>
          <w:rFonts w:ascii="Arial" w:eastAsia="Arial" w:hAnsi="Arial" w:cs="Arial"/>
          <w:b/>
          <w:color w:val="000000"/>
          <w:sz w:val="24"/>
          <w:szCs w:val="24"/>
        </w:rPr>
        <w:t xml:space="preserve">ARTÍCULO </w:t>
      </w:r>
      <w:r>
        <w:rPr>
          <w:rFonts w:ascii="Arial" w:eastAsia="Arial" w:hAnsi="Arial" w:cs="Arial"/>
          <w:b/>
          <w:sz w:val="24"/>
          <w:szCs w:val="24"/>
        </w:rPr>
        <w:t xml:space="preserve">5. </w:t>
      </w:r>
      <w:r>
        <w:rPr>
          <w:rFonts w:ascii="Arial" w:eastAsia="Arial" w:hAnsi="Arial" w:cs="Arial"/>
          <w:b/>
          <w:color w:val="000000"/>
          <w:sz w:val="24"/>
          <w:szCs w:val="24"/>
        </w:rPr>
        <w:t>LINEAMIENTOS.</w:t>
      </w:r>
      <w:r>
        <w:rPr>
          <w:rFonts w:ascii="Arial" w:eastAsia="Arial" w:hAnsi="Arial" w:cs="Arial"/>
          <w:color w:val="000000"/>
          <w:sz w:val="24"/>
          <w:szCs w:val="24"/>
        </w:rPr>
        <w:t xml:space="preserve"> La</w:t>
      </w:r>
      <w:r>
        <w:rPr>
          <w:rFonts w:ascii="Arial" w:eastAsia="Arial" w:hAnsi="Arial" w:cs="Arial"/>
          <w:sz w:val="24"/>
          <w:szCs w:val="24"/>
        </w:rPr>
        <w:t xml:space="preserve">s acciones </w:t>
      </w:r>
      <w:r>
        <w:rPr>
          <w:rFonts w:ascii="Arial" w:eastAsia="Arial" w:hAnsi="Arial" w:cs="Arial"/>
          <w:color w:val="000000"/>
          <w:sz w:val="24"/>
          <w:szCs w:val="24"/>
          <w:highlight w:val="white"/>
        </w:rPr>
        <w:t xml:space="preserve">de </w:t>
      </w:r>
      <w:r>
        <w:rPr>
          <w:rFonts w:ascii="Arial" w:eastAsia="Arial" w:hAnsi="Arial" w:cs="Arial"/>
          <w:sz w:val="24"/>
          <w:szCs w:val="24"/>
          <w:highlight w:val="white"/>
        </w:rPr>
        <w:t>p</w:t>
      </w:r>
      <w:r>
        <w:rPr>
          <w:rFonts w:ascii="Arial" w:eastAsia="Arial" w:hAnsi="Arial" w:cs="Arial"/>
          <w:color w:val="000000"/>
          <w:sz w:val="24"/>
          <w:szCs w:val="24"/>
          <w:highlight w:val="white"/>
        </w:rPr>
        <w:t xml:space="preserve">revención del </w:t>
      </w:r>
      <w:r>
        <w:rPr>
          <w:rFonts w:ascii="Arial" w:eastAsia="Arial" w:hAnsi="Arial" w:cs="Arial"/>
          <w:sz w:val="24"/>
          <w:szCs w:val="24"/>
          <w:highlight w:val="white"/>
        </w:rPr>
        <w:t>r</w:t>
      </w:r>
      <w:r>
        <w:rPr>
          <w:rFonts w:ascii="Arial" w:eastAsia="Arial" w:hAnsi="Arial" w:cs="Arial"/>
          <w:color w:val="000000"/>
          <w:sz w:val="24"/>
          <w:szCs w:val="24"/>
          <w:highlight w:val="white"/>
        </w:rPr>
        <w:t xml:space="preserve">eclutamiento, </w:t>
      </w:r>
      <w:r>
        <w:rPr>
          <w:rFonts w:ascii="Arial" w:eastAsia="Arial" w:hAnsi="Arial" w:cs="Arial"/>
          <w:sz w:val="24"/>
          <w:szCs w:val="24"/>
          <w:highlight w:val="white"/>
        </w:rPr>
        <w:t>u</w:t>
      </w:r>
      <w:r>
        <w:rPr>
          <w:rFonts w:ascii="Arial" w:eastAsia="Arial" w:hAnsi="Arial" w:cs="Arial"/>
          <w:color w:val="000000"/>
          <w:sz w:val="24"/>
          <w:szCs w:val="24"/>
          <w:highlight w:val="white"/>
        </w:rPr>
        <w:t xml:space="preserve">tilización, </w:t>
      </w:r>
      <w:r>
        <w:rPr>
          <w:rFonts w:ascii="Arial" w:eastAsia="Arial" w:hAnsi="Arial" w:cs="Arial"/>
          <w:sz w:val="24"/>
          <w:szCs w:val="24"/>
          <w:highlight w:val="white"/>
        </w:rPr>
        <w:t>u</w:t>
      </w:r>
      <w:r>
        <w:rPr>
          <w:rFonts w:ascii="Arial" w:eastAsia="Arial" w:hAnsi="Arial" w:cs="Arial"/>
          <w:color w:val="000000"/>
          <w:sz w:val="24"/>
          <w:szCs w:val="24"/>
          <w:highlight w:val="white"/>
        </w:rPr>
        <w:t>so</w:t>
      </w:r>
      <w:r>
        <w:rPr>
          <w:rFonts w:ascii="Arial" w:eastAsia="Arial" w:hAnsi="Arial" w:cs="Arial"/>
          <w:sz w:val="24"/>
          <w:szCs w:val="24"/>
          <w:highlight w:val="white"/>
        </w:rPr>
        <w:t>, v</w:t>
      </w:r>
      <w:r>
        <w:rPr>
          <w:rFonts w:ascii="Arial" w:eastAsia="Arial" w:hAnsi="Arial" w:cs="Arial"/>
          <w:color w:val="000000"/>
          <w:sz w:val="24"/>
          <w:szCs w:val="24"/>
          <w:highlight w:val="white"/>
        </w:rPr>
        <w:t xml:space="preserve">iolencia y explotación </w:t>
      </w:r>
      <w:r>
        <w:rPr>
          <w:rFonts w:ascii="Arial" w:eastAsia="Arial" w:hAnsi="Arial" w:cs="Arial"/>
          <w:sz w:val="24"/>
          <w:szCs w:val="24"/>
          <w:highlight w:val="white"/>
        </w:rPr>
        <w:t>s</w:t>
      </w:r>
      <w:r>
        <w:rPr>
          <w:rFonts w:ascii="Arial" w:eastAsia="Arial" w:hAnsi="Arial" w:cs="Arial"/>
          <w:color w:val="000000"/>
          <w:sz w:val="24"/>
          <w:szCs w:val="24"/>
          <w:highlight w:val="white"/>
        </w:rPr>
        <w:t xml:space="preserve">exual en contra de </w:t>
      </w:r>
      <w:r>
        <w:rPr>
          <w:rFonts w:ascii="Arial" w:eastAsia="Arial" w:hAnsi="Arial" w:cs="Arial"/>
          <w:sz w:val="24"/>
          <w:szCs w:val="24"/>
          <w:highlight w:val="white"/>
        </w:rPr>
        <w:t xml:space="preserve">NNAJ, </w:t>
      </w:r>
      <w:r>
        <w:rPr>
          <w:rFonts w:ascii="Arial" w:eastAsia="Arial" w:hAnsi="Arial" w:cs="Arial"/>
          <w:color w:val="000000"/>
          <w:sz w:val="24"/>
          <w:szCs w:val="24"/>
          <w:highlight w:val="white"/>
        </w:rPr>
        <w:t>se basará</w:t>
      </w:r>
      <w:r>
        <w:rPr>
          <w:rFonts w:ascii="Arial" w:eastAsia="Arial" w:hAnsi="Arial" w:cs="Arial"/>
          <w:sz w:val="24"/>
          <w:szCs w:val="24"/>
          <w:highlight w:val="white"/>
        </w:rPr>
        <w:t>n</w:t>
      </w:r>
      <w:r>
        <w:rPr>
          <w:rFonts w:ascii="Arial" w:eastAsia="Arial" w:hAnsi="Arial" w:cs="Arial"/>
          <w:color w:val="000000"/>
          <w:sz w:val="24"/>
          <w:szCs w:val="24"/>
          <w:highlight w:val="white"/>
        </w:rPr>
        <w:t xml:space="preserve"> en los</w:t>
      </w:r>
      <w:r>
        <w:rPr>
          <w:rFonts w:ascii="Arial" w:eastAsia="Arial" w:hAnsi="Arial" w:cs="Arial"/>
          <w:sz w:val="24"/>
          <w:szCs w:val="24"/>
          <w:highlight w:val="white"/>
        </w:rPr>
        <w:t xml:space="preserve"> </w:t>
      </w:r>
      <w:r>
        <w:rPr>
          <w:rFonts w:ascii="Arial" w:eastAsia="Arial" w:hAnsi="Arial" w:cs="Arial"/>
          <w:color w:val="000000"/>
          <w:sz w:val="24"/>
          <w:szCs w:val="24"/>
          <w:highlight w:val="white"/>
        </w:rPr>
        <w:t>lineamientos que se describen en lo</w:t>
      </w:r>
      <w:r>
        <w:rPr>
          <w:rFonts w:ascii="Arial" w:eastAsia="Arial" w:hAnsi="Arial" w:cs="Arial"/>
          <w:sz w:val="24"/>
          <w:szCs w:val="24"/>
          <w:highlight w:val="white"/>
        </w:rPr>
        <w:t>s</w:t>
      </w:r>
      <w:r>
        <w:rPr>
          <w:rFonts w:ascii="Arial" w:eastAsia="Arial" w:hAnsi="Arial" w:cs="Arial"/>
          <w:color w:val="000000"/>
          <w:sz w:val="24"/>
          <w:szCs w:val="24"/>
          <w:highlight w:val="white"/>
        </w:rPr>
        <w:t xml:space="preserve"> artículos siguientes</w:t>
      </w:r>
      <w:r>
        <w:rPr>
          <w:rFonts w:ascii="Arial" w:eastAsia="Arial" w:hAnsi="Arial" w:cs="Arial"/>
          <w:sz w:val="24"/>
          <w:szCs w:val="24"/>
          <w:highlight w:val="white"/>
        </w:rPr>
        <w:t>.</w:t>
      </w:r>
    </w:p>
    <w:p w:rsidR="005E0AA9" w:rsidRDefault="005E0AA9">
      <w:pPr>
        <w:pBdr>
          <w:top w:val="nil"/>
          <w:left w:val="nil"/>
          <w:bottom w:val="nil"/>
          <w:right w:val="nil"/>
          <w:between w:val="nil"/>
        </w:pBdr>
        <w:spacing w:after="0" w:line="240" w:lineRule="auto"/>
        <w:jc w:val="both"/>
        <w:rPr>
          <w:rFonts w:ascii="Arial" w:eastAsia="Arial" w:hAnsi="Arial" w:cs="Arial"/>
          <w:sz w:val="24"/>
          <w:szCs w:val="24"/>
          <w:highlight w:val="white"/>
        </w:rPr>
      </w:pPr>
    </w:p>
    <w:p w:rsidR="005E0AA9" w:rsidRDefault="0000586B">
      <w:pPr>
        <w:spacing w:after="0" w:line="240" w:lineRule="auto"/>
        <w:jc w:val="both"/>
        <w:rPr>
          <w:rFonts w:ascii="Arial" w:eastAsia="Arial" w:hAnsi="Arial" w:cs="Arial"/>
          <w:sz w:val="24"/>
          <w:szCs w:val="24"/>
        </w:rPr>
      </w:pPr>
      <w:r>
        <w:rPr>
          <w:rFonts w:ascii="Arial" w:eastAsia="Arial" w:hAnsi="Arial" w:cs="Arial"/>
          <w:b/>
          <w:sz w:val="24"/>
          <w:szCs w:val="24"/>
        </w:rPr>
        <w:t>ARTÍCULO 6. PROTOCOLO.</w:t>
      </w:r>
      <w:r>
        <w:rPr>
          <w:rFonts w:ascii="Arial" w:eastAsia="Arial" w:hAnsi="Arial" w:cs="Arial"/>
          <w:sz w:val="24"/>
          <w:szCs w:val="24"/>
        </w:rPr>
        <w:t xml:space="preserve"> La Administración Distrital creará un protocolo de identificación y actuación específico para abordar de forma integral los factores de riesgo que indiquen amenaza de reclutamiento, utilización, uso, </w:t>
      </w:r>
      <w:r>
        <w:rPr>
          <w:rFonts w:ascii="Arial" w:eastAsia="Arial" w:hAnsi="Arial" w:cs="Arial"/>
          <w:sz w:val="24"/>
          <w:szCs w:val="24"/>
          <w:highlight w:val="white"/>
        </w:rPr>
        <w:t xml:space="preserve">violencia y explotación sexual </w:t>
      </w:r>
      <w:r>
        <w:rPr>
          <w:rFonts w:ascii="Arial" w:eastAsia="Arial" w:hAnsi="Arial" w:cs="Arial"/>
          <w:sz w:val="24"/>
          <w:szCs w:val="24"/>
        </w:rPr>
        <w:t>para los NNAJ, para la prevención de este fenómeno.</w:t>
      </w:r>
      <w:r>
        <w:rPr>
          <w:rFonts w:ascii="Arial" w:eastAsia="Arial" w:hAnsi="Arial" w:cs="Arial"/>
          <w:sz w:val="24"/>
          <w:szCs w:val="24"/>
        </w:rPr>
        <w:br/>
      </w:r>
    </w:p>
    <w:p w:rsidR="005E0AA9" w:rsidRDefault="0000586B">
      <w:pPr>
        <w:spacing w:after="0" w:line="240" w:lineRule="auto"/>
        <w:jc w:val="both"/>
        <w:rPr>
          <w:rFonts w:ascii="Arial" w:eastAsia="Arial" w:hAnsi="Arial" w:cs="Arial"/>
          <w:sz w:val="24"/>
          <w:szCs w:val="24"/>
        </w:rPr>
      </w:pPr>
      <w:r>
        <w:rPr>
          <w:rFonts w:ascii="Arial" w:eastAsia="Arial" w:hAnsi="Arial" w:cs="Arial"/>
          <w:sz w:val="24"/>
          <w:szCs w:val="24"/>
        </w:rPr>
        <w:t xml:space="preserve">El protocolo desarrollará, entre </w:t>
      </w:r>
      <w:r w:rsidR="00E66905">
        <w:rPr>
          <w:rFonts w:ascii="Arial" w:eastAsia="Arial" w:hAnsi="Arial" w:cs="Arial"/>
          <w:sz w:val="24"/>
          <w:szCs w:val="24"/>
        </w:rPr>
        <w:t>otras, las siguientes acciones:</w:t>
      </w:r>
    </w:p>
    <w:p w:rsidR="00E66905" w:rsidRDefault="00E66905">
      <w:pPr>
        <w:spacing w:after="0" w:line="240" w:lineRule="auto"/>
        <w:jc w:val="both"/>
        <w:rPr>
          <w:rFonts w:ascii="Arial" w:eastAsia="Arial" w:hAnsi="Arial" w:cs="Arial"/>
          <w:sz w:val="24"/>
          <w:szCs w:val="24"/>
        </w:rPr>
      </w:pPr>
    </w:p>
    <w:p w:rsidR="005E0AA9" w:rsidRDefault="0000586B">
      <w:pPr>
        <w:spacing w:after="0" w:line="240" w:lineRule="auto"/>
        <w:jc w:val="both"/>
        <w:rPr>
          <w:rFonts w:ascii="Arial" w:eastAsia="Arial" w:hAnsi="Arial" w:cs="Arial"/>
          <w:sz w:val="24"/>
          <w:szCs w:val="24"/>
        </w:rPr>
      </w:pPr>
      <w:r>
        <w:rPr>
          <w:rFonts w:ascii="Arial" w:eastAsia="Arial" w:hAnsi="Arial" w:cs="Arial"/>
          <w:b/>
          <w:sz w:val="24"/>
          <w:szCs w:val="24"/>
        </w:rPr>
        <w:t xml:space="preserve">a. </w:t>
      </w:r>
      <w:r>
        <w:rPr>
          <w:rFonts w:ascii="Arial" w:eastAsia="Arial" w:hAnsi="Arial" w:cs="Arial"/>
          <w:sz w:val="24"/>
          <w:szCs w:val="24"/>
        </w:rPr>
        <w:t xml:space="preserve">Promover la identificación de factores de riesgos asociados a dinámicas de reclutamiento, utilización, uso, </w:t>
      </w:r>
      <w:r>
        <w:rPr>
          <w:rFonts w:ascii="Arial" w:eastAsia="Arial" w:hAnsi="Arial" w:cs="Arial"/>
          <w:sz w:val="24"/>
          <w:szCs w:val="24"/>
          <w:highlight w:val="white"/>
        </w:rPr>
        <w:t xml:space="preserve">violencia y explotación sexual </w:t>
      </w:r>
      <w:r>
        <w:rPr>
          <w:rFonts w:ascii="Arial" w:eastAsia="Arial" w:hAnsi="Arial" w:cs="Arial"/>
          <w:sz w:val="24"/>
          <w:szCs w:val="24"/>
        </w:rPr>
        <w:t>en los NNAJ en los distintos e</w:t>
      </w:r>
      <w:r w:rsidR="00E66905">
        <w:rPr>
          <w:rFonts w:ascii="Arial" w:eastAsia="Arial" w:hAnsi="Arial" w:cs="Arial"/>
          <w:sz w:val="24"/>
          <w:szCs w:val="24"/>
        </w:rPr>
        <w:t xml:space="preserve">ntornos donde se desarrollan. </w:t>
      </w:r>
    </w:p>
    <w:p w:rsidR="00E66905" w:rsidRDefault="00E66905">
      <w:pPr>
        <w:spacing w:after="0" w:line="240" w:lineRule="auto"/>
        <w:jc w:val="both"/>
        <w:rPr>
          <w:rFonts w:ascii="Arial" w:eastAsia="Arial" w:hAnsi="Arial" w:cs="Arial"/>
          <w:sz w:val="24"/>
          <w:szCs w:val="24"/>
        </w:rPr>
      </w:pPr>
    </w:p>
    <w:p w:rsidR="005E0AA9" w:rsidRDefault="0000586B">
      <w:pPr>
        <w:spacing w:after="0" w:line="240" w:lineRule="auto"/>
        <w:jc w:val="both"/>
        <w:rPr>
          <w:rFonts w:ascii="Arial" w:eastAsia="Arial" w:hAnsi="Arial" w:cs="Arial"/>
          <w:sz w:val="24"/>
          <w:szCs w:val="24"/>
        </w:rPr>
      </w:pPr>
      <w:r>
        <w:rPr>
          <w:rFonts w:ascii="Arial" w:eastAsia="Arial" w:hAnsi="Arial" w:cs="Arial"/>
          <w:b/>
          <w:sz w:val="24"/>
          <w:szCs w:val="24"/>
        </w:rPr>
        <w:t xml:space="preserve">b. </w:t>
      </w:r>
      <w:r>
        <w:rPr>
          <w:rFonts w:ascii="Arial" w:eastAsia="Arial" w:hAnsi="Arial" w:cs="Arial"/>
          <w:sz w:val="24"/>
          <w:szCs w:val="24"/>
        </w:rPr>
        <w:t xml:space="preserve">Articular acciones con los sistemas de alertas tempranas distritales y nacionales para brindar y recibir información tendiente a prevenir y abordar el reclutamiento, utilización, uso, </w:t>
      </w:r>
      <w:r>
        <w:rPr>
          <w:rFonts w:ascii="Arial" w:eastAsia="Arial" w:hAnsi="Arial" w:cs="Arial"/>
          <w:sz w:val="24"/>
          <w:szCs w:val="24"/>
          <w:highlight w:val="white"/>
        </w:rPr>
        <w:t xml:space="preserve">violencia y explotación sexual </w:t>
      </w:r>
      <w:r>
        <w:rPr>
          <w:rFonts w:ascii="Arial" w:eastAsia="Arial" w:hAnsi="Arial" w:cs="Arial"/>
          <w:sz w:val="24"/>
          <w:szCs w:val="24"/>
        </w:rPr>
        <w:t>en los NNAJ.</w:t>
      </w:r>
    </w:p>
    <w:p w:rsidR="005E0AA9" w:rsidRDefault="005E0AA9">
      <w:pPr>
        <w:spacing w:after="0" w:line="240" w:lineRule="auto"/>
        <w:jc w:val="both"/>
        <w:rPr>
          <w:rFonts w:ascii="Arial" w:eastAsia="Arial" w:hAnsi="Arial" w:cs="Arial"/>
          <w:b/>
          <w:sz w:val="24"/>
          <w:szCs w:val="24"/>
        </w:rPr>
      </w:pPr>
    </w:p>
    <w:p w:rsidR="005E0AA9" w:rsidRDefault="0000586B">
      <w:pPr>
        <w:spacing w:after="0" w:line="240" w:lineRule="auto"/>
        <w:jc w:val="both"/>
        <w:rPr>
          <w:rFonts w:ascii="Arial" w:eastAsia="Arial" w:hAnsi="Arial" w:cs="Arial"/>
          <w:sz w:val="24"/>
          <w:szCs w:val="24"/>
        </w:rPr>
      </w:pPr>
      <w:r>
        <w:rPr>
          <w:rFonts w:ascii="Arial" w:eastAsia="Arial" w:hAnsi="Arial" w:cs="Arial"/>
          <w:b/>
          <w:sz w:val="24"/>
          <w:szCs w:val="24"/>
        </w:rPr>
        <w:t xml:space="preserve">c. </w:t>
      </w:r>
      <w:r>
        <w:rPr>
          <w:rFonts w:ascii="Arial" w:eastAsia="Arial" w:hAnsi="Arial" w:cs="Arial"/>
          <w:sz w:val="24"/>
          <w:szCs w:val="24"/>
        </w:rPr>
        <w:t xml:space="preserve">Diseñar e incluir rutas de promoción y atención intersectorial para la protección inmediata de NNAJ en riesgo y situación de vulnerabilidad. Esto, a través de los programas distritales que ya brinden atención integral a NNAJ en Bogotá D.C. </w:t>
      </w:r>
      <w:r>
        <w:rPr>
          <w:rFonts w:ascii="Arial" w:eastAsia="Arial" w:hAnsi="Arial" w:cs="Arial"/>
          <w:sz w:val="24"/>
          <w:szCs w:val="24"/>
        </w:rPr>
        <w:br/>
      </w:r>
    </w:p>
    <w:p w:rsidR="005E0AA9" w:rsidRDefault="0000586B">
      <w:pPr>
        <w:spacing w:after="0" w:line="240" w:lineRule="auto"/>
        <w:jc w:val="both"/>
        <w:rPr>
          <w:rFonts w:ascii="Arial" w:eastAsia="Arial" w:hAnsi="Arial" w:cs="Arial"/>
          <w:sz w:val="24"/>
          <w:szCs w:val="24"/>
        </w:rPr>
      </w:pPr>
      <w:r>
        <w:rPr>
          <w:rFonts w:ascii="Arial" w:eastAsia="Arial" w:hAnsi="Arial" w:cs="Arial"/>
          <w:b/>
          <w:sz w:val="24"/>
          <w:szCs w:val="24"/>
        </w:rPr>
        <w:t xml:space="preserve">PARÁGRAFO PRIMERO. </w:t>
      </w:r>
      <w:r>
        <w:rPr>
          <w:rFonts w:ascii="Arial" w:eastAsia="Arial" w:hAnsi="Arial" w:cs="Arial"/>
          <w:sz w:val="24"/>
          <w:szCs w:val="24"/>
        </w:rPr>
        <w:t xml:space="preserve">Se promoverá la articulación entre los sistemas de información nacionales y distritales, que permita mejorar la calidad de los registros administrativos y su interoperabilidad, para aunar esfuerzos que permitan acciones efectivas y eficaces para prevenir el reclutamiento, utilización, uso, </w:t>
      </w:r>
      <w:r>
        <w:rPr>
          <w:rFonts w:ascii="Arial" w:eastAsia="Arial" w:hAnsi="Arial" w:cs="Arial"/>
          <w:sz w:val="24"/>
          <w:szCs w:val="24"/>
          <w:highlight w:val="white"/>
        </w:rPr>
        <w:t xml:space="preserve">violencia y explotación sexual </w:t>
      </w:r>
      <w:r>
        <w:rPr>
          <w:rFonts w:ascii="Arial" w:eastAsia="Arial" w:hAnsi="Arial" w:cs="Arial"/>
          <w:sz w:val="24"/>
          <w:szCs w:val="24"/>
        </w:rPr>
        <w:t>en los NNAJ.</w:t>
      </w:r>
    </w:p>
    <w:p w:rsidR="005E0AA9" w:rsidRDefault="005E0AA9">
      <w:pPr>
        <w:spacing w:after="0" w:line="240" w:lineRule="auto"/>
        <w:jc w:val="both"/>
        <w:rPr>
          <w:rFonts w:ascii="Arial" w:eastAsia="Arial" w:hAnsi="Arial" w:cs="Arial"/>
          <w:sz w:val="24"/>
          <w:szCs w:val="24"/>
        </w:rPr>
      </w:pPr>
    </w:p>
    <w:p w:rsidR="005E0AA9" w:rsidRDefault="0000586B">
      <w:pPr>
        <w:spacing w:after="0" w:line="240" w:lineRule="auto"/>
        <w:jc w:val="both"/>
        <w:rPr>
          <w:rFonts w:ascii="Arial" w:eastAsia="Arial" w:hAnsi="Arial" w:cs="Arial"/>
          <w:sz w:val="24"/>
          <w:szCs w:val="24"/>
        </w:rPr>
      </w:pPr>
      <w:r>
        <w:rPr>
          <w:rFonts w:ascii="Arial" w:eastAsia="Arial" w:hAnsi="Arial" w:cs="Arial"/>
          <w:b/>
          <w:sz w:val="24"/>
          <w:szCs w:val="24"/>
        </w:rPr>
        <w:t xml:space="preserve">PARÁGRAFO SEGUNDO. </w:t>
      </w:r>
      <w:r>
        <w:rPr>
          <w:rFonts w:ascii="Arial" w:eastAsia="Arial" w:hAnsi="Arial" w:cs="Arial"/>
          <w:sz w:val="24"/>
          <w:szCs w:val="24"/>
        </w:rPr>
        <w:t>La creación de este protocolo incluirá la participación incidente de la sociedad civil organizada, incluyendo NNAJ y organizaciones que trabajen en favor de esta población.</w:t>
      </w:r>
    </w:p>
    <w:p w:rsidR="005E0AA9" w:rsidRDefault="005E0AA9">
      <w:pPr>
        <w:spacing w:after="0" w:line="240" w:lineRule="auto"/>
        <w:jc w:val="both"/>
        <w:rPr>
          <w:rFonts w:ascii="Arial" w:eastAsia="Arial" w:hAnsi="Arial" w:cs="Arial"/>
          <w:sz w:val="24"/>
          <w:szCs w:val="24"/>
        </w:rPr>
      </w:pPr>
    </w:p>
    <w:p w:rsidR="005E0AA9" w:rsidRDefault="0000586B">
      <w:pPr>
        <w:spacing w:after="0" w:line="240" w:lineRule="auto"/>
        <w:jc w:val="both"/>
        <w:rPr>
          <w:rFonts w:ascii="Arial" w:eastAsia="Arial" w:hAnsi="Arial" w:cs="Arial"/>
          <w:sz w:val="24"/>
          <w:szCs w:val="24"/>
        </w:rPr>
      </w:pPr>
      <w:r>
        <w:rPr>
          <w:rFonts w:ascii="Arial" w:eastAsia="Arial" w:hAnsi="Arial" w:cs="Arial"/>
          <w:b/>
          <w:sz w:val="24"/>
          <w:szCs w:val="24"/>
        </w:rPr>
        <w:t xml:space="preserve">ARTÍCULO 7. COMPONENTE DE PREVENCIÓN. </w:t>
      </w:r>
      <w:r>
        <w:rPr>
          <w:rFonts w:ascii="Arial" w:eastAsia="Arial" w:hAnsi="Arial" w:cs="Arial"/>
          <w:sz w:val="24"/>
          <w:szCs w:val="24"/>
        </w:rPr>
        <w:t xml:space="preserve">De conformidad con el protocolo dispuesto en el artículo anterior y respetando la sostenibilidad fiscal, los programas, proyectos y estrategias distritales ya existentes o que se creen posterior a la sanción de este Acuerdo y que pertenezcan a los sectores: educación; integración social; salud; cultura, recreación y deporte; y seguridad convivencia y justicia, dirigidos a la atención integral de NNAJ incluirán, de manera progresiva y transversal, un componente específico de prevención del reclutamiento, utilización, uso, violencia y </w:t>
      </w:r>
      <w:r w:rsidR="00E66905">
        <w:rPr>
          <w:rFonts w:ascii="Arial" w:eastAsia="Arial" w:hAnsi="Arial" w:cs="Arial"/>
          <w:sz w:val="24"/>
          <w:szCs w:val="24"/>
        </w:rPr>
        <w:t>explotación sexual contra NNAJ.</w:t>
      </w:r>
    </w:p>
    <w:p w:rsidR="00E66905" w:rsidRDefault="00E66905">
      <w:pPr>
        <w:spacing w:after="0" w:line="240" w:lineRule="auto"/>
        <w:jc w:val="both"/>
        <w:rPr>
          <w:rFonts w:ascii="Arial" w:eastAsia="Arial" w:hAnsi="Arial" w:cs="Arial"/>
          <w:sz w:val="24"/>
          <w:szCs w:val="24"/>
        </w:rPr>
      </w:pP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sz w:val="24"/>
          <w:szCs w:val="24"/>
        </w:rPr>
        <w:t xml:space="preserve">Dicho componente podrá incluir estrategias y acciones encaminadas no solo a prevenir sino a identificar factores de riesgo subyacentes al ciclo y curso de vida de los NNAJ. Igualmente, se propenderá por promover entornos protectores y seguros para NNAJ a nivel familiar, escolar, comunitario e institucional. </w:t>
      </w:r>
    </w:p>
    <w:p w:rsidR="00E66905" w:rsidRDefault="00E66905">
      <w:pPr>
        <w:spacing w:after="0" w:line="240" w:lineRule="auto"/>
        <w:jc w:val="both"/>
        <w:rPr>
          <w:rFonts w:ascii="Arial" w:eastAsia="Arial" w:hAnsi="Arial" w:cs="Arial"/>
          <w:sz w:val="24"/>
          <w:szCs w:val="24"/>
        </w:rPr>
      </w:pP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b/>
          <w:sz w:val="24"/>
          <w:szCs w:val="24"/>
        </w:rPr>
        <w:t xml:space="preserve">PARÁGRAFO PRIMERO. </w:t>
      </w:r>
      <w:r>
        <w:rPr>
          <w:rFonts w:ascii="Arial" w:eastAsia="Arial" w:hAnsi="Arial" w:cs="Arial"/>
          <w:sz w:val="24"/>
          <w:szCs w:val="24"/>
        </w:rPr>
        <w:t>La Administración Distrital, con base en el protocolo, promoverá acciones focalizadas en</w:t>
      </w:r>
      <w:r>
        <w:rPr>
          <w:rFonts w:ascii="Arial" w:eastAsia="Arial" w:hAnsi="Arial" w:cs="Arial"/>
          <w:sz w:val="24"/>
          <w:szCs w:val="24"/>
          <w:highlight w:val="white"/>
        </w:rPr>
        <w:t xml:space="preserve"> programas sociales, económicos, educativos, culturales y recreativos dirigidos a NNAJ y sus familias con alto grado de vulnerabilidad y riesgo de reclutamiento, </w:t>
      </w:r>
      <w:r>
        <w:rPr>
          <w:rFonts w:ascii="Arial" w:eastAsia="Arial" w:hAnsi="Arial" w:cs="Arial"/>
          <w:sz w:val="24"/>
          <w:szCs w:val="24"/>
        </w:rPr>
        <w:t xml:space="preserve">utilización, uso, violencia y explotación sexual </w:t>
      </w:r>
      <w:r>
        <w:rPr>
          <w:rFonts w:ascii="Arial" w:eastAsia="Arial" w:hAnsi="Arial" w:cs="Arial"/>
          <w:sz w:val="24"/>
          <w:szCs w:val="24"/>
          <w:highlight w:val="white"/>
        </w:rPr>
        <w:t xml:space="preserve">en el Distrito Capital. </w:t>
      </w:r>
    </w:p>
    <w:p w:rsidR="005E0AA9" w:rsidRDefault="005E0AA9">
      <w:pPr>
        <w:spacing w:after="0" w:line="240" w:lineRule="auto"/>
        <w:jc w:val="both"/>
        <w:rPr>
          <w:rFonts w:ascii="Arial" w:eastAsia="Arial" w:hAnsi="Arial" w:cs="Arial"/>
          <w:sz w:val="24"/>
          <w:szCs w:val="24"/>
          <w:highlight w:val="white"/>
        </w:rPr>
      </w:pP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b/>
          <w:sz w:val="24"/>
          <w:szCs w:val="24"/>
        </w:rPr>
        <w:t xml:space="preserve">PARÁGRAFO SEGUNDO. </w:t>
      </w:r>
      <w:r>
        <w:rPr>
          <w:rFonts w:ascii="Arial" w:eastAsia="Arial" w:hAnsi="Arial" w:cs="Arial"/>
          <w:sz w:val="24"/>
          <w:szCs w:val="24"/>
          <w:highlight w:val="white"/>
        </w:rPr>
        <w:t>La Administración Distrital articulará las estrategias y acciones que nazcan de este componente y del protocolo, con las rutas existentes para la prevención del reclutamiento, utilización, uso, violencia y explotación sexual contra NNAJ.</w:t>
      </w:r>
    </w:p>
    <w:p w:rsidR="005E0AA9" w:rsidRDefault="005E0AA9">
      <w:pPr>
        <w:spacing w:after="0" w:line="240" w:lineRule="auto"/>
        <w:jc w:val="both"/>
        <w:rPr>
          <w:rFonts w:ascii="Arial" w:eastAsia="Arial" w:hAnsi="Arial" w:cs="Arial"/>
          <w:sz w:val="24"/>
          <w:szCs w:val="24"/>
        </w:rPr>
      </w:pPr>
    </w:p>
    <w:p w:rsidR="005E0AA9" w:rsidRDefault="0000586B">
      <w:pPr>
        <w:spacing w:after="0" w:line="240" w:lineRule="auto"/>
        <w:jc w:val="both"/>
        <w:rPr>
          <w:rFonts w:ascii="Arial" w:eastAsia="Arial" w:hAnsi="Arial" w:cs="Arial"/>
          <w:sz w:val="24"/>
          <w:szCs w:val="24"/>
        </w:rPr>
      </w:pPr>
      <w:r>
        <w:rPr>
          <w:rFonts w:ascii="Arial" w:eastAsia="Arial" w:hAnsi="Arial" w:cs="Arial"/>
          <w:b/>
          <w:sz w:val="24"/>
          <w:szCs w:val="24"/>
        </w:rPr>
        <w:t xml:space="preserve">ARTÍCULO 8. CAPACITACIÓN. </w:t>
      </w:r>
      <w:r>
        <w:rPr>
          <w:rFonts w:ascii="Arial" w:eastAsia="Arial" w:hAnsi="Arial" w:cs="Arial"/>
          <w:sz w:val="24"/>
          <w:szCs w:val="24"/>
        </w:rPr>
        <w:t>Se propenderá por que los funcionarios públicos y contratistas de la Administración Distrital que trabajen en programas, proyectos y estrategias de atención a NNAJ, de los sectores establecidos en el artículo 7 del presente Acuerdo, recibirán capa</w:t>
      </w:r>
      <w:r w:rsidR="00E66905">
        <w:rPr>
          <w:rFonts w:ascii="Arial" w:eastAsia="Arial" w:hAnsi="Arial" w:cs="Arial"/>
          <w:sz w:val="24"/>
          <w:szCs w:val="24"/>
        </w:rPr>
        <w:t xml:space="preserve">citación en:  </w:t>
      </w:r>
    </w:p>
    <w:p w:rsidR="00E66905" w:rsidRDefault="00E66905">
      <w:pPr>
        <w:spacing w:after="0" w:line="240" w:lineRule="auto"/>
        <w:jc w:val="both"/>
        <w:rPr>
          <w:rFonts w:ascii="Arial" w:eastAsia="Arial" w:hAnsi="Arial" w:cs="Arial"/>
          <w:sz w:val="24"/>
          <w:szCs w:val="24"/>
        </w:rPr>
      </w:pPr>
    </w:p>
    <w:p w:rsidR="005E0AA9" w:rsidRDefault="0000586B">
      <w:pPr>
        <w:spacing w:after="0" w:line="240" w:lineRule="auto"/>
        <w:jc w:val="both"/>
        <w:rPr>
          <w:rFonts w:ascii="Arial" w:eastAsia="Arial" w:hAnsi="Arial" w:cs="Arial"/>
          <w:sz w:val="24"/>
          <w:szCs w:val="24"/>
        </w:rPr>
      </w:pPr>
      <w:r>
        <w:rPr>
          <w:rFonts w:ascii="Arial" w:eastAsia="Arial" w:hAnsi="Arial" w:cs="Arial"/>
          <w:b/>
          <w:sz w:val="24"/>
          <w:szCs w:val="24"/>
        </w:rPr>
        <w:t xml:space="preserve">a. </w:t>
      </w:r>
      <w:r>
        <w:rPr>
          <w:rFonts w:ascii="Arial" w:eastAsia="Arial" w:hAnsi="Arial" w:cs="Arial"/>
          <w:sz w:val="24"/>
          <w:szCs w:val="24"/>
          <w:highlight w:val="white"/>
        </w:rPr>
        <w:t xml:space="preserve">Prevención del reclutamiento, </w:t>
      </w:r>
      <w:r>
        <w:rPr>
          <w:rFonts w:ascii="Arial" w:eastAsia="Arial" w:hAnsi="Arial" w:cs="Arial"/>
          <w:sz w:val="24"/>
          <w:szCs w:val="24"/>
        </w:rPr>
        <w:t>utilización, uso, violencia y explotación sexual contra NNAJ.</w:t>
      </w:r>
    </w:p>
    <w:p w:rsidR="005E0AA9" w:rsidRDefault="0000586B">
      <w:pPr>
        <w:spacing w:after="0" w:line="240" w:lineRule="auto"/>
        <w:jc w:val="both"/>
        <w:rPr>
          <w:rFonts w:ascii="Arial" w:eastAsia="Arial" w:hAnsi="Arial" w:cs="Arial"/>
          <w:sz w:val="24"/>
          <w:szCs w:val="24"/>
        </w:rPr>
      </w:pPr>
      <w:r>
        <w:rPr>
          <w:rFonts w:ascii="Arial" w:eastAsia="Arial" w:hAnsi="Arial" w:cs="Arial"/>
          <w:b/>
          <w:sz w:val="24"/>
          <w:szCs w:val="24"/>
        </w:rPr>
        <w:t xml:space="preserve">b. </w:t>
      </w:r>
      <w:r>
        <w:rPr>
          <w:rFonts w:ascii="Arial" w:eastAsia="Arial" w:hAnsi="Arial" w:cs="Arial"/>
          <w:sz w:val="24"/>
          <w:szCs w:val="24"/>
        </w:rPr>
        <w:t xml:space="preserve">Derechos humanos y protección integral de NNAJ.  </w:t>
      </w:r>
    </w:p>
    <w:p w:rsidR="005E0AA9" w:rsidRDefault="0000586B">
      <w:pPr>
        <w:spacing w:after="0" w:line="240" w:lineRule="auto"/>
        <w:jc w:val="both"/>
        <w:rPr>
          <w:rFonts w:ascii="Arial" w:eastAsia="Arial" w:hAnsi="Arial" w:cs="Arial"/>
          <w:sz w:val="24"/>
          <w:szCs w:val="24"/>
        </w:rPr>
      </w:pPr>
      <w:r>
        <w:rPr>
          <w:rFonts w:ascii="Arial" w:eastAsia="Arial" w:hAnsi="Arial" w:cs="Arial"/>
          <w:b/>
          <w:sz w:val="24"/>
          <w:szCs w:val="24"/>
        </w:rPr>
        <w:t xml:space="preserve">c. </w:t>
      </w:r>
      <w:r>
        <w:rPr>
          <w:rFonts w:ascii="Arial" w:eastAsia="Arial" w:hAnsi="Arial" w:cs="Arial"/>
          <w:sz w:val="24"/>
          <w:szCs w:val="24"/>
        </w:rPr>
        <w:t xml:space="preserve">Manejo y aplicación del protocolo dispuesto en el artículo 6. </w:t>
      </w:r>
    </w:p>
    <w:p w:rsidR="005E0AA9" w:rsidRDefault="0000586B">
      <w:pPr>
        <w:spacing w:after="0" w:line="240" w:lineRule="auto"/>
        <w:jc w:val="both"/>
        <w:rPr>
          <w:rFonts w:ascii="Arial" w:eastAsia="Arial" w:hAnsi="Arial" w:cs="Arial"/>
          <w:sz w:val="24"/>
          <w:szCs w:val="24"/>
        </w:rPr>
      </w:pPr>
      <w:r>
        <w:rPr>
          <w:rFonts w:ascii="Arial" w:eastAsia="Arial" w:hAnsi="Arial" w:cs="Arial"/>
          <w:b/>
          <w:sz w:val="24"/>
          <w:szCs w:val="24"/>
        </w:rPr>
        <w:t xml:space="preserve">d. </w:t>
      </w:r>
      <w:r>
        <w:rPr>
          <w:rFonts w:ascii="Arial" w:eastAsia="Arial" w:hAnsi="Arial" w:cs="Arial"/>
          <w:sz w:val="24"/>
          <w:szCs w:val="24"/>
        </w:rPr>
        <w:t>Estrategias de promoción de entornos protectores y seguros.</w:t>
      </w: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b/>
          <w:sz w:val="24"/>
          <w:szCs w:val="24"/>
        </w:rPr>
        <w:t xml:space="preserve">e. </w:t>
      </w:r>
      <w:r>
        <w:rPr>
          <w:rFonts w:ascii="Arial" w:eastAsia="Arial" w:hAnsi="Arial" w:cs="Arial"/>
          <w:sz w:val="24"/>
          <w:szCs w:val="24"/>
        </w:rPr>
        <w:t xml:space="preserve">Estrategias de uso de evidencia para el diseño, seguimiento, mejora y adaptación de acciones. </w:t>
      </w:r>
    </w:p>
    <w:p w:rsidR="005E0AA9" w:rsidRDefault="0000586B">
      <w:pPr>
        <w:spacing w:before="240" w:after="240" w:line="240" w:lineRule="auto"/>
        <w:jc w:val="both"/>
        <w:rPr>
          <w:rFonts w:ascii="Arial" w:eastAsia="Arial" w:hAnsi="Arial" w:cs="Arial"/>
          <w:sz w:val="24"/>
          <w:szCs w:val="24"/>
          <w:highlight w:val="white"/>
        </w:rPr>
      </w:pPr>
      <w:r>
        <w:rPr>
          <w:rFonts w:ascii="Arial" w:eastAsia="Arial" w:hAnsi="Arial" w:cs="Arial"/>
          <w:b/>
          <w:sz w:val="24"/>
          <w:szCs w:val="24"/>
          <w:highlight w:val="white"/>
        </w:rPr>
        <w:t xml:space="preserve">ARTÍCULO 9. USO DE EVIDENCIA, SEGUIMIENTO Y MEJORAMIENTO. </w:t>
      </w:r>
      <w:r>
        <w:rPr>
          <w:rFonts w:ascii="Arial" w:eastAsia="Arial" w:hAnsi="Arial" w:cs="Arial"/>
          <w:sz w:val="24"/>
          <w:szCs w:val="24"/>
          <w:highlight w:val="white"/>
        </w:rPr>
        <w:t>Los programas, proyectos y estrategias distritales dirigidos a la prevención del reclutamiento, utilización, uso, violencia y explotación sexual en contra de NNAJ incorporarán, de manera transversal, el uso de buenas prácticas nacionales e internacionales verificadas, así como el análisis de las realidades territoriales y comunitarias, con el fin de garantizar que las acciones sean pertinentes, efectivas y ajustadas a las necesidades de cada contexto.</w:t>
      </w:r>
    </w:p>
    <w:p w:rsidR="005E0AA9" w:rsidRDefault="0000586B">
      <w:pPr>
        <w:spacing w:before="240" w:after="240" w:line="240" w:lineRule="auto"/>
        <w:jc w:val="both"/>
        <w:rPr>
          <w:rFonts w:ascii="Arial" w:eastAsia="Arial" w:hAnsi="Arial" w:cs="Arial"/>
          <w:b/>
          <w:sz w:val="24"/>
          <w:szCs w:val="24"/>
          <w:highlight w:val="white"/>
        </w:rPr>
      </w:pPr>
      <w:r>
        <w:rPr>
          <w:rFonts w:ascii="Arial" w:eastAsia="Arial" w:hAnsi="Arial" w:cs="Arial"/>
          <w:sz w:val="24"/>
          <w:szCs w:val="24"/>
          <w:highlight w:val="white"/>
        </w:rPr>
        <w:t>Estas acciones buscarán identificar los resultados esperados y contarán con mecanismos de seguimiento y verificación que permitirán orientar la mejora continua de las acciones implementadas, asegurando su efectividad y pertinencia en el tiempo.</w:t>
      </w:r>
    </w:p>
    <w:p w:rsidR="005E0AA9" w:rsidRDefault="0000586B">
      <w:pPr>
        <w:spacing w:after="0" w:line="240" w:lineRule="auto"/>
        <w:jc w:val="both"/>
        <w:rPr>
          <w:rFonts w:ascii="Arial" w:eastAsia="Arial" w:hAnsi="Arial" w:cs="Arial"/>
          <w:sz w:val="24"/>
          <w:szCs w:val="24"/>
          <w:highlight w:val="white"/>
        </w:rPr>
      </w:pPr>
      <w:r>
        <w:rPr>
          <w:rFonts w:ascii="Arial" w:eastAsia="Arial" w:hAnsi="Arial" w:cs="Arial"/>
          <w:b/>
          <w:sz w:val="24"/>
          <w:szCs w:val="24"/>
          <w:highlight w:val="white"/>
        </w:rPr>
        <w:t xml:space="preserve">ARTÍCULO 10. REGLAMENTACIÓN. </w:t>
      </w:r>
      <w:r>
        <w:rPr>
          <w:rFonts w:ascii="Arial" w:eastAsia="Arial" w:hAnsi="Arial" w:cs="Arial"/>
          <w:sz w:val="24"/>
          <w:szCs w:val="24"/>
          <w:highlight w:val="white"/>
        </w:rPr>
        <w:t>La Administración Distrital, en el ejercicio de sus competencias y facultades legales, reglamentará dentro de los seis (6) meses siguientes a la sanción del presente Acuerdo, lo concerniente a la elaboración del protocolo, inclusión del componente de prevención en los programas, proyectos y estrategias dirigidos a NNAJ; capacitación de funcionarios públicos y contratistas y los demás aspectos que considere necesarios para el propósito de prevenir el reclutamiento, utilización, uso, violencia y explotación sexual de NNAJ en Bogotá D.C.</w:t>
      </w:r>
    </w:p>
    <w:p w:rsidR="005E0AA9" w:rsidRDefault="005E0AA9">
      <w:pPr>
        <w:spacing w:after="0" w:line="240" w:lineRule="auto"/>
        <w:jc w:val="both"/>
        <w:rPr>
          <w:rFonts w:ascii="Arial" w:eastAsia="Arial" w:hAnsi="Arial" w:cs="Arial"/>
          <w:sz w:val="24"/>
          <w:szCs w:val="24"/>
          <w:highlight w:val="white"/>
        </w:rPr>
      </w:pPr>
    </w:p>
    <w:p w:rsidR="005E0AA9" w:rsidRDefault="0000586B">
      <w:pPr>
        <w:spacing w:after="0" w:line="240" w:lineRule="auto"/>
        <w:jc w:val="both"/>
        <w:rPr>
          <w:rFonts w:ascii="Arial" w:eastAsia="Arial" w:hAnsi="Arial" w:cs="Arial"/>
          <w:sz w:val="24"/>
          <w:szCs w:val="24"/>
        </w:rPr>
      </w:pPr>
      <w:r>
        <w:rPr>
          <w:rFonts w:ascii="Arial" w:eastAsia="Arial" w:hAnsi="Arial" w:cs="Arial"/>
          <w:b/>
          <w:sz w:val="24"/>
          <w:szCs w:val="24"/>
        </w:rPr>
        <w:t xml:space="preserve">ARTÍCULO 11. VIGENCIA. </w:t>
      </w:r>
      <w:r>
        <w:rPr>
          <w:rFonts w:ascii="Arial" w:eastAsia="Arial" w:hAnsi="Arial" w:cs="Arial"/>
          <w:sz w:val="24"/>
          <w:szCs w:val="24"/>
        </w:rPr>
        <w:t xml:space="preserve">El presente Acuerdo rige a partir de su aprobación. </w:t>
      </w:r>
    </w:p>
    <w:p w:rsidR="005E0AA9" w:rsidRDefault="005E0AA9">
      <w:pPr>
        <w:spacing w:after="0" w:line="240" w:lineRule="auto"/>
        <w:jc w:val="both"/>
        <w:rPr>
          <w:rFonts w:ascii="Arial" w:eastAsia="Arial" w:hAnsi="Arial" w:cs="Arial"/>
          <w:sz w:val="24"/>
          <w:szCs w:val="24"/>
        </w:rPr>
      </w:pPr>
    </w:p>
    <w:p w:rsidR="005E0AA9" w:rsidRDefault="005E0AA9">
      <w:pPr>
        <w:spacing w:after="0" w:line="240" w:lineRule="auto"/>
        <w:jc w:val="both"/>
        <w:rPr>
          <w:rFonts w:ascii="Arial" w:eastAsia="Arial" w:hAnsi="Arial" w:cs="Arial"/>
          <w:sz w:val="24"/>
          <w:szCs w:val="24"/>
        </w:rPr>
      </w:pPr>
    </w:p>
    <w:p w:rsidR="005E0AA9" w:rsidRDefault="0000586B">
      <w:pPr>
        <w:shd w:val="clear" w:color="auto" w:fill="FFFFFF"/>
        <w:spacing w:line="240" w:lineRule="auto"/>
        <w:jc w:val="center"/>
        <w:rPr>
          <w:rFonts w:ascii="Arial" w:eastAsia="Arial" w:hAnsi="Arial" w:cs="Arial"/>
          <w:b/>
          <w:color w:val="201F1E"/>
          <w:sz w:val="24"/>
          <w:szCs w:val="24"/>
        </w:rPr>
      </w:pPr>
      <w:bookmarkStart w:id="1" w:name="_heading=h.1fob9te" w:colFirst="0" w:colLast="0"/>
      <w:bookmarkEnd w:id="1"/>
      <w:r>
        <w:rPr>
          <w:rFonts w:ascii="Arial" w:eastAsia="Arial" w:hAnsi="Arial" w:cs="Arial"/>
          <w:b/>
          <w:color w:val="201F1E"/>
          <w:sz w:val="24"/>
          <w:szCs w:val="24"/>
        </w:rPr>
        <w:t>PUBLÍQUESE Y CÚMPLASE</w:t>
      </w:r>
    </w:p>
    <w:p w:rsidR="005E0AA9" w:rsidRDefault="005E0AA9">
      <w:pPr>
        <w:spacing w:line="240" w:lineRule="auto"/>
        <w:jc w:val="both"/>
        <w:rPr>
          <w:rFonts w:ascii="Arial" w:eastAsia="Arial" w:hAnsi="Arial" w:cs="Arial"/>
          <w:sz w:val="24"/>
          <w:szCs w:val="24"/>
        </w:rPr>
      </w:pPr>
    </w:p>
    <w:sectPr w:rsidR="005E0AA9">
      <w:headerReference w:type="default" r:id="rId12"/>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453D3" w:rsidRDefault="001453D3">
      <w:pPr>
        <w:spacing w:after="0" w:line="240" w:lineRule="auto"/>
      </w:pPr>
      <w:r>
        <w:separator/>
      </w:r>
    </w:p>
  </w:endnote>
  <w:endnote w:type="continuationSeparator" w:id="0">
    <w:p w:rsidR="001453D3" w:rsidRDefault="001453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453D3" w:rsidRDefault="001453D3">
      <w:pPr>
        <w:spacing w:after="0" w:line="240" w:lineRule="auto"/>
      </w:pPr>
      <w:r>
        <w:separator/>
      </w:r>
    </w:p>
  </w:footnote>
  <w:footnote w:type="continuationSeparator" w:id="0">
    <w:p w:rsidR="001453D3" w:rsidRDefault="001453D3">
      <w:pPr>
        <w:spacing w:after="0" w:line="240" w:lineRule="auto"/>
      </w:pPr>
      <w:r>
        <w:continuationSeparator/>
      </w:r>
    </w:p>
  </w:footnote>
  <w:footnote w:id="1">
    <w:p w:rsidR="005E0AA9" w:rsidRDefault="0000586B">
      <w:pPr>
        <w:pBdr>
          <w:top w:val="nil"/>
          <w:left w:val="nil"/>
          <w:bottom w:val="nil"/>
          <w:right w:val="nil"/>
          <w:between w:val="nil"/>
        </w:pBdr>
        <w:spacing w:after="0" w:line="240" w:lineRule="auto"/>
        <w:jc w:val="both"/>
        <w:rPr>
          <w:color w:val="000000"/>
          <w:sz w:val="20"/>
          <w:szCs w:val="20"/>
          <w:u w:val="single"/>
        </w:rPr>
      </w:pPr>
      <w:r>
        <w:rPr>
          <w:vertAlign w:val="superscript"/>
        </w:rPr>
        <w:footnoteRef/>
      </w:r>
      <w:r>
        <w:rPr>
          <w:color w:val="000000"/>
          <w:sz w:val="20"/>
          <w:szCs w:val="20"/>
        </w:rPr>
        <w:t xml:space="preserve"> Auto No. 251 de 2008</w:t>
      </w:r>
    </w:p>
  </w:footnote>
  <w:footnote w:id="2">
    <w:p w:rsidR="005E0AA9" w:rsidRDefault="0000586B">
      <w:pPr>
        <w:spacing w:after="0" w:line="240" w:lineRule="auto"/>
        <w:rPr>
          <w:rFonts w:ascii="Arial" w:eastAsia="Arial" w:hAnsi="Arial" w:cs="Arial"/>
          <w:sz w:val="20"/>
          <w:szCs w:val="20"/>
        </w:rPr>
      </w:pPr>
      <w:r>
        <w:rPr>
          <w:vertAlign w:val="superscript"/>
        </w:rPr>
        <w:footnoteRef/>
      </w:r>
      <w:r>
        <w:rPr>
          <w:rFonts w:ascii="Arial" w:eastAsia="Arial" w:hAnsi="Arial" w:cs="Arial"/>
          <w:sz w:val="20"/>
          <w:szCs w:val="20"/>
        </w:rPr>
        <w:t xml:space="preserve"> </w:t>
      </w:r>
      <w:r>
        <w:rPr>
          <w:rFonts w:ascii="Arial" w:eastAsia="Arial" w:hAnsi="Arial" w:cs="Arial"/>
          <w:i/>
          <w:sz w:val="20"/>
          <w:szCs w:val="20"/>
        </w:rPr>
        <w:t xml:space="preserve">Alerta Temprana N°004 - 24. </w:t>
      </w:r>
      <w:r>
        <w:rPr>
          <w:rFonts w:ascii="Arial" w:eastAsia="Arial" w:hAnsi="Arial" w:cs="Arial"/>
          <w:sz w:val="20"/>
          <w:szCs w:val="20"/>
        </w:rPr>
        <w:t>(2024). Defensoría del Pueblo.</w:t>
      </w:r>
    </w:p>
  </w:footnote>
  <w:footnote w:id="3">
    <w:p w:rsidR="005E0AA9" w:rsidRDefault="0000586B">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Tomada de las recomendaciones emitidas por la Defensoría del Pueblo en la Alerta Temprana N° 010 de 2021</w:t>
      </w:r>
    </w:p>
  </w:footnote>
  <w:footnote w:id="4">
    <w:p w:rsidR="005E0AA9" w:rsidRDefault="0000586B">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Defensoría del Pueblo (2021) “ALERTA TEMPRANA N° 010-21” </w:t>
      </w:r>
    </w:p>
  </w:footnote>
  <w:footnote w:id="5">
    <w:p w:rsidR="005E0AA9" w:rsidRDefault="0000586B">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Fundación Ideas para la Paz (2021) “Que no nos distraigan: prevenir el reclutamiento forzado es una deuda pendiente”. Recuperado de:  </w:t>
      </w:r>
      <w:hyperlink r:id="rId1">
        <w:r>
          <w:rPr>
            <w:color w:val="0563C1"/>
            <w:sz w:val="20"/>
            <w:szCs w:val="20"/>
            <w:u w:val="single"/>
          </w:rPr>
          <w:t>https://www.ideaspaz.org/publications/posts/1981</w:t>
        </w:r>
      </w:hyperlink>
      <w:r>
        <w:rPr>
          <w:color w:val="000000"/>
          <w:sz w:val="20"/>
          <w:szCs w:val="20"/>
        </w:rPr>
        <w:t xml:space="preserve"> </w:t>
      </w:r>
    </w:p>
  </w:footnote>
  <w:footnote w:id="6">
    <w:p w:rsidR="005E0AA9" w:rsidRDefault="0000586B">
      <w:pPr>
        <w:pBdr>
          <w:top w:val="nil"/>
          <w:left w:val="nil"/>
          <w:bottom w:val="nil"/>
          <w:right w:val="nil"/>
          <w:between w:val="nil"/>
        </w:pBdr>
        <w:spacing w:after="0" w:line="240" w:lineRule="auto"/>
        <w:jc w:val="both"/>
        <w:rPr>
          <w:color w:val="000000"/>
          <w:sz w:val="20"/>
          <w:szCs w:val="20"/>
        </w:rPr>
      </w:pPr>
      <w:r>
        <w:rPr>
          <w:vertAlign w:val="superscript"/>
        </w:rPr>
        <w:footnoteRef/>
      </w:r>
      <w:r>
        <w:rPr>
          <w:color w:val="000000"/>
          <w:sz w:val="20"/>
          <w:szCs w:val="20"/>
        </w:rPr>
        <w:t xml:space="preserve"> RCN Radio (2021) ¿Cómo prevenir el reclutamiento de menores? Recuperado de: </w:t>
      </w:r>
      <w:hyperlink r:id="rId2">
        <w:r>
          <w:rPr>
            <w:color w:val="0563C1"/>
            <w:sz w:val="20"/>
            <w:szCs w:val="20"/>
            <w:u w:val="single"/>
          </w:rPr>
          <w:t>https://www.rcnradio.com/recomendado-del-editor/como-prevenir-el-reclutamiento-de-menores</w:t>
        </w:r>
      </w:hyperlink>
      <w:r>
        <w:rPr>
          <w:color w:val="000000"/>
          <w:sz w:val="20"/>
          <w:szCs w:val="20"/>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0AA9" w:rsidRDefault="005E0AA9">
    <w:pPr>
      <w:widowControl w:val="0"/>
      <w:pBdr>
        <w:top w:val="nil"/>
        <w:left w:val="nil"/>
        <w:bottom w:val="nil"/>
        <w:right w:val="nil"/>
        <w:between w:val="nil"/>
      </w:pBdr>
      <w:spacing w:after="0" w:line="276" w:lineRule="auto"/>
      <w:rPr>
        <w:color w:val="000000"/>
        <w:sz w:val="20"/>
        <w:szCs w:val="20"/>
      </w:rPr>
    </w:pPr>
  </w:p>
  <w:tbl>
    <w:tblPr>
      <w:tblStyle w:val="a2"/>
      <w:tblW w:w="8828" w:type="dxa"/>
      <w:tblInd w:w="0" w:type="dxa"/>
      <w:tblLayout w:type="fixed"/>
      <w:tblLook w:val="0400" w:firstRow="0" w:lastRow="0" w:firstColumn="0" w:lastColumn="0" w:noHBand="0" w:noVBand="1"/>
    </w:tblPr>
    <w:tblGrid>
      <w:gridCol w:w="2361"/>
      <w:gridCol w:w="4234"/>
      <w:gridCol w:w="2233"/>
    </w:tblGrid>
    <w:tr w:rsidR="005E0AA9">
      <w:trPr>
        <w:trHeight w:val="454"/>
      </w:trPr>
      <w:tc>
        <w:tcPr>
          <w:tcW w:w="2361" w:type="dxa"/>
          <w:vMerge w:val="restart"/>
          <w:tcBorders>
            <w:top w:val="single" w:sz="4" w:space="0" w:color="000000"/>
            <w:left w:val="single" w:sz="4" w:space="0" w:color="000000"/>
            <w:bottom w:val="single" w:sz="4" w:space="0" w:color="000000"/>
            <w:right w:val="single" w:sz="4" w:space="0" w:color="000000"/>
          </w:tcBorders>
          <w:vAlign w:val="center"/>
        </w:tcPr>
        <w:p w:rsidR="005E0AA9" w:rsidRDefault="0000586B">
          <w:pPr>
            <w:jc w:val="center"/>
            <w:rPr>
              <w:sz w:val="16"/>
              <w:szCs w:val="16"/>
            </w:rPr>
          </w:pPr>
          <w:r>
            <w:rPr>
              <w:noProof/>
            </w:rPr>
            <w:drawing>
              <wp:anchor distT="0" distB="0" distL="114300" distR="114300" simplePos="0" relativeHeight="251658240" behindDoc="0" locked="0" layoutInCell="1" hidden="0" allowOverlap="1">
                <wp:simplePos x="0" y="0"/>
                <wp:positionH relativeFrom="column">
                  <wp:posOffset>389890</wp:posOffset>
                </wp:positionH>
                <wp:positionV relativeFrom="paragraph">
                  <wp:posOffset>4445</wp:posOffset>
                </wp:positionV>
                <wp:extent cx="704850" cy="838200"/>
                <wp:effectExtent l="0" t="0" r="0" b="0"/>
                <wp:wrapNone/>
                <wp:docPr id="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4850" cy="838200"/>
                        </a:xfrm>
                        <a:prstGeom prst="rect">
                          <a:avLst/>
                        </a:prstGeom>
                        <a:ln/>
                      </pic:spPr>
                    </pic:pic>
                  </a:graphicData>
                </a:graphic>
              </wp:anchor>
            </w:drawing>
          </w:r>
        </w:p>
      </w:tc>
      <w:tc>
        <w:tcPr>
          <w:tcW w:w="4234" w:type="dxa"/>
          <w:tcBorders>
            <w:top w:val="single" w:sz="4" w:space="0" w:color="000000"/>
            <w:left w:val="nil"/>
            <w:bottom w:val="single" w:sz="4" w:space="0" w:color="000000"/>
            <w:right w:val="single" w:sz="4" w:space="0" w:color="000000"/>
          </w:tcBorders>
          <w:vAlign w:val="center"/>
        </w:tcPr>
        <w:p w:rsidR="005E0AA9" w:rsidRDefault="0000586B">
          <w:pPr>
            <w:jc w:val="center"/>
            <w:rPr>
              <w:sz w:val="18"/>
              <w:szCs w:val="18"/>
            </w:rPr>
          </w:pPr>
          <w:r>
            <w:rPr>
              <w:sz w:val="18"/>
              <w:szCs w:val="18"/>
            </w:rPr>
            <w:t>PROCESO GESTIÓN NORMATIVA</w:t>
          </w:r>
        </w:p>
      </w:tc>
      <w:tc>
        <w:tcPr>
          <w:tcW w:w="2233" w:type="dxa"/>
          <w:tcBorders>
            <w:top w:val="single" w:sz="4" w:space="0" w:color="000000"/>
            <w:left w:val="nil"/>
            <w:bottom w:val="single" w:sz="4" w:space="0" w:color="000000"/>
            <w:right w:val="single" w:sz="4" w:space="0" w:color="000000"/>
          </w:tcBorders>
          <w:vAlign w:val="center"/>
        </w:tcPr>
        <w:p w:rsidR="005E0AA9" w:rsidRDefault="0000586B">
          <w:pPr>
            <w:rPr>
              <w:sz w:val="16"/>
              <w:szCs w:val="16"/>
            </w:rPr>
          </w:pPr>
          <w:r>
            <w:rPr>
              <w:sz w:val="16"/>
              <w:szCs w:val="16"/>
            </w:rPr>
            <w:t>CÓDIGO</w:t>
          </w:r>
          <w:r>
            <w:rPr>
              <w:color w:val="3366FF"/>
              <w:sz w:val="16"/>
              <w:szCs w:val="16"/>
            </w:rPr>
            <w:t xml:space="preserve">: </w:t>
          </w:r>
          <w:r>
            <w:rPr>
              <w:sz w:val="16"/>
              <w:szCs w:val="16"/>
            </w:rPr>
            <w:t>GNV-FO-001</w:t>
          </w:r>
        </w:p>
      </w:tc>
    </w:tr>
    <w:tr w:rsidR="005E0AA9">
      <w:trPr>
        <w:trHeight w:val="454"/>
      </w:trPr>
      <w:tc>
        <w:tcPr>
          <w:tcW w:w="2361" w:type="dxa"/>
          <w:vMerge/>
          <w:tcBorders>
            <w:top w:val="single" w:sz="4" w:space="0" w:color="000000"/>
            <w:left w:val="single" w:sz="4" w:space="0" w:color="000000"/>
            <w:bottom w:val="single" w:sz="4" w:space="0" w:color="000000"/>
            <w:right w:val="single" w:sz="4" w:space="0" w:color="000000"/>
          </w:tcBorders>
          <w:vAlign w:val="center"/>
        </w:tcPr>
        <w:p w:rsidR="005E0AA9" w:rsidRDefault="005E0AA9">
          <w:pPr>
            <w:widowControl w:val="0"/>
            <w:pBdr>
              <w:top w:val="nil"/>
              <w:left w:val="nil"/>
              <w:bottom w:val="nil"/>
              <w:right w:val="nil"/>
              <w:between w:val="nil"/>
            </w:pBdr>
            <w:spacing w:after="0" w:line="276" w:lineRule="auto"/>
            <w:rPr>
              <w:sz w:val="16"/>
              <w:szCs w:val="16"/>
            </w:rPr>
          </w:pPr>
        </w:p>
      </w:tc>
      <w:tc>
        <w:tcPr>
          <w:tcW w:w="4234" w:type="dxa"/>
          <w:vMerge w:val="restart"/>
          <w:tcBorders>
            <w:top w:val="single" w:sz="4" w:space="0" w:color="000000"/>
            <w:left w:val="nil"/>
            <w:bottom w:val="single" w:sz="4" w:space="0" w:color="000000"/>
            <w:right w:val="single" w:sz="4" w:space="0" w:color="000000"/>
          </w:tcBorders>
          <w:vAlign w:val="center"/>
        </w:tcPr>
        <w:p w:rsidR="005E0AA9" w:rsidRDefault="0000586B">
          <w:pPr>
            <w:jc w:val="center"/>
            <w:rPr>
              <w:sz w:val="20"/>
              <w:szCs w:val="20"/>
            </w:rPr>
          </w:pPr>
          <w:r>
            <w:rPr>
              <w:sz w:val="20"/>
              <w:szCs w:val="20"/>
            </w:rPr>
            <w:t>PRESENTACIÓN PROYECTOS DE ACUERDO</w:t>
          </w:r>
        </w:p>
      </w:tc>
      <w:tc>
        <w:tcPr>
          <w:tcW w:w="2233" w:type="dxa"/>
          <w:tcBorders>
            <w:top w:val="single" w:sz="4" w:space="0" w:color="000000"/>
            <w:left w:val="nil"/>
            <w:bottom w:val="single" w:sz="4" w:space="0" w:color="000000"/>
            <w:right w:val="single" w:sz="4" w:space="0" w:color="000000"/>
          </w:tcBorders>
          <w:vAlign w:val="center"/>
        </w:tcPr>
        <w:p w:rsidR="005E0AA9" w:rsidRDefault="0000586B">
          <w:pPr>
            <w:rPr>
              <w:sz w:val="16"/>
              <w:szCs w:val="16"/>
            </w:rPr>
          </w:pPr>
          <w:r>
            <w:rPr>
              <w:sz w:val="16"/>
              <w:szCs w:val="16"/>
            </w:rPr>
            <w:t>VERSIÓN:    02</w:t>
          </w:r>
        </w:p>
      </w:tc>
    </w:tr>
    <w:tr w:rsidR="005E0AA9">
      <w:trPr>
        <w:trHeight w:val="454"/>
      </w:trPr>
      <w:tc>
        <w:tcPr>
          <w:tcW w:w="2361" w:type="dxa"/>
          <w:vMerge/>
          <w:tcBorders>
            <w:top w:val="single" w:sz="4" w:space="0" w:color="000000"/>
            <w:left w:val="single" w:sz="4" w:space="0" w:color="000000"/>
            <w:bottom w:val="single" w:sz="4" w:space="0" w:color="000000"/>
            <w:right w:val="single" w:sz="4" w:space="0" w:color="000000"/>
          </w:tcBorders>
          <w:vAlign w:val="center"/>
        </w:tcPr>
        <w:p w:rsidR="005E0AA9" w:rsidRDefault="005E0AA9">
          <w:pPr>
            <w:widowControl w:val="0"/>
            <w:pBdr>
              <w:top w:val="nil"/>
              <w:left w:val="nil"/>
              <w:bottom w:val="nil"/>
              <w:right w:val="nil"/>
              <w:between w:val="nil"/>
            </w:pBdr>
            <w:spacing w:after="0" w:line="276" w:lineRule="auto"/>
            <w:rPr>
              <w:sz w:val="16"/>
              <w:szCs w:val="16"/>
            </w:rPr>
          </w:pPr>
        </w:p>
      </w:tc>
      <w:tc>
        <w:tcPr>
          <w:tcW w:w="4234" w:type="dxa"/>
          <w:vMerge/>
          <w:tcBorders>
            <w:top w:val="single" w:sz="4" w:space="0" w:color="000000"/>
            <w:left w:val="nil"/>
            <w:bottom w:val="single" w:sz="4" w:space="0" w:color="000000"/>
            <w:right w:val="single" w:sz="4" w:space="0" w:color="000000"/>
          </w:tcBorders>
          <w:vAlign w:val="center"/>
        </w:tcPr>
        <w:p w:rsidR="005E0AA9" w:rsidRDefault="005E0AA9">
          <w:pPr>
            <w:widowControl w:val="0"/>
            <w:pBdr>
              <w:top w:val="nil"/>
              <w:left w:val="nil"/>
              <w:bottom w:val="nil"/>
              <w:right w:val="nil"/>
              <w:between w:val="nil"/>
            </w:pBdr>
            <w:spacing w:after="0" w:line="276" w:lineRule="auto"/>
            <w:rPr>
              <w:sz w:val="16"/>
              <w:szCs w:val="16"/>
            </w:rPr>
          </w:pPr>
        </w:p>
      </w:tc>
      <w:tc>
        <w:tcPr>
          <w:tcW w:w="2233" w:type="dxa"/>
          <w:tcBorders>
            <w:top w:val="single" w:sz="4" w:space="0" w:color="000000"/>
            <w:left w:val="nil"/>
            <w:bottom w:val="single" w:sz="4" w:space="0" w:color="000000"/>
            <w:right w:val="single" w:sz="4" w:space="0" w:color="000000"/>
          </w:tcBorders>
          <w:vAlign w:val="center"/>
        </w:tcPr>
        <w:p w:rsidR="005E0AA9" w:rsidRDefault="0000586B">
          <w:pPr>
            <w:rPr>
              <w:sz w:val="16"/>
              <w:szCs w:val="16"/>
            </w:rPr>
          </w:pPr>
          <w:r>
            <w:rPr>
              <w:sz w:val="16"/>
              <w:szCs w:val="16"/>
            </w:rPr>
            <w:t>FECHA: 14-Nov-2019</w:t>
          </w:r>
        </w:p>
      </w:tc>
    </w:tr>
  </w:tbl>
  <w:p w:rsidR="005E0AA9" w:rsidRDefault="005E0AA9">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F315F3"/>
    <w:multiLevelType w:val="multilevel"/>
    <w:tmpl w:val="684EFE1A"/>
    <w:lvl w:ilvl="0">
      <w:start w:val="1"/>
      <w:numFmt w:val="decimal"/>
      <w:lvlText w:val="%1."/>
      <w:lvlJc w:val="left"/>
      <w:pPr>
        <w:ind w:left="720" w:hanging="360"/>
      </w:pPr>
      <w:rPr>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1A24EC0"/>
    <w:multiLevelType w:val="multilevel"/>
    <w:tmpl w:val="A4D641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BA665DA"/>
    <w:multiLevelType w:val="multilevel"/>
    <w:tmpl w:val="3112CB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9235390"/>
    <w:multiLevelType w:val="multilevel"/>
    <w:tmpl w:val="F5543578"/>
    <w:lvl w:ilvl="0">
      <w:start w:val="1"/>
      <w:numFmt w:val="lowerLetter"/>
      <w:lvlText w:val="%1)"/>
      <w:lvlJc w:val="left"/>
      <w:pPr>
        <w:ind w:left="360" w:hanging="360"/>
      </w:p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 w15:restartNumberingAfterBreak="0">
    <w:nsid w:val="62EE0CBF"/>
    <w:multiLevelType w:val="multilevel"/>
    <w:tmpl w:val="4CA482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4CA3C2F"/>
    <w:multiLevelType w:val="multilevel"/>
    <w:tmpl w:val="36ACDC16"/>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6" w15:restartNumberingAfterBreak="0">
    <w:nsid w:val="77FE0B69"/>
    <w:multiLevelType w:val="multilevel"/>
    <w:tmpl w:val="EA40256E"/>
    <w:lvl w:ilvl="0">
      <w:start w:val="1"/>
      <w:numFmt w:val="bullet"/>
      <w:lvlText w:val="●"/>
      <w:lvlJc w:val="left"/>
      <w:pPr>
        <w:ind w:left="720" w:hanging="360"/>
      </w:pPr>
      <w:rPr>
        <w:rFonts w:ascii="Noto Sans Symbols" w:eastAsia="Noto Sans Symbols" w:hAnsi="Noto Sans Symbols" w:cs="Noto Sans Symbols"/>
        <w:color w:val="000000"/>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4"/>
  </w:num>
  <w:num w:numId="2">
    <w:abstractNumId w:val="1"/>
  </w:num>
  <w:num w:numId="3">
    <w:abstractNumId w:val="6"/>
  </w:num>
  <w:num w:numId="4">
    <w:abstractNumId w:val="0"/>
  </w:num>
  <w:num w:numId="5">
    <w:abstractNumId w:val="5"/>
  </w:num>
  <w:num w:numId="6">
    <w:abstractNumId w:val="3"/>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0AA9"/>
    <w:rsid w:val="0000586B"/>
    <w:rsid w:val="000F63C7"/>
    <w:rsid w:val="001453D3"/>
    <w:rsid w:val="00431F0A"/>
    <w:rsid w:val="005E0AA9"/>
    <w:rsid w:val="0062655C"/>
    <w:rsid w:val="006C7229"/>
    <w:rsid w:val="00B24982"/>
    <w:rsid w:val="00CB6CF4"/>
    <w:rsid w:val="00D369F9"/>
    <w:rsid w:val="00E6690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89815F"/>
  <w15:docId w15:val="{9EEACDC0-24BA-468A-B9BB-5930606010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0C027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link w:val="Ttulo3Car"/>
    <w:uiPriority w:val="9"/>
    <w:qFormat/>
    <w:rsid w:val="0087649C"/>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character" w:styleId="Hipervnculo">
    <w:name w:val="Hyperlink"/>
    <w:basedOn w:val="Fuentedeprrafopredeter"/>
    <w:uiPriority w:val="99"/>
    <w:unhideWhenUsed/>
    <w:rsid w:val="001A295F"/>
    <w:rPr>
      <w:color w:val="0563C1" w:themeColor="hyperlink"/>
      <w:u w:val="single"/>
    </w:rPr>
  </w:style>
  <w:style w:type="paragraph" w:styleId="NormalWeb">
    <w:name w:val="Normal (Web)"/>
    <w:basedOn w:val="Normal"/>
    <w:uiPriority w:val="99"/>
    <w:unhideWhenUsed/>
    <w:rsid w:val="001A295F"/>
    <w:pPr>
      <w:spacing w:before="100" w:beforeAutospacing="1" w:after="100" w:afterAutospacing="1" w:line="240" w:lineRule="auto"/>
    </w:pPr>
    <w:rPr>
      <w:rFonts w:ascii="Times New Roman" w:eastAsia="Times New Roman" w:hAnsi="Times New Roman" w:cs="Times New Roman"/>
      <w:sz w:val="24"/>
      <w:szCs w:val="24"/>
    </w:rPr>
  </w:style>
  <w:style w:type="paragraph" w:styleId="Textonotapie">
    <w:name w:val="footnote text"/>
    <w:basedOn w:val="Normal"/>
    <w:link w:val="TextonotapieCar"/>
    <w:uiPriority w:val="99"/>
    <w:semiHidden/>
    <w:unhideWhenUsed/>
    <w:rsid w:val="001A295F"/>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1A295F"/>
    <w:rPr>
      <w:sz w:val="20"/>
      <w:szCs w:val="20"/>
    </w:rPr>
  </w:style>
  <w:style w:type="character" w:styleId="Refdenotaalpie">
    <w:name w:val="footnote reference"/>
    <w:basedOn w:val="Fuentedeprrafopredeter"/>
    <w:uiPriority w:val="99"/>
    <w:semiHidden/>
    <w:unhideWhenUsed/>
    <w:rsid w:val="001A295F"/>
    <w:rPr>
      <w:vertAlign w:val="superscript"/>
    </w:rPr>
  </w:style>
  <w:style w:type="character" w:customStyle="1" w:styleId="st">
    <w:name w:val="st"/>
    <w:basedOn w:val="Fuentedeprrafopredeter"/>
    <w:rsid w:val="001A295F"/>
  </w:style>
  <w:style w:type="character" w:styleId="Textoennegrita">
    <w:name w:val="Strong"/>
    <w:basedOn w:val="Fuentedeprrafopredeter"/>
    <w:uiPriority w:val="22"/>
    <w:qFormat/>
    <w:rsid w:val="001A295F"/>
    <w:rPr>
      <w:b/>
      <w:bCs/>
    </w:rPr>
  </w:style>
  <w:style w:type="character" w:customStyle="1" w:styleId="Mencinsinresolver1">
    <w:name w:val="Mención sin resolver1"/>
    <w:basedOn w:val="Fuentedeprrafopredeter"/>
    <w:uiPriority w:val="99"/>
    <w:semiHidden/>
    <w:unhideWhenUsed/>
    <w:rsid w:val="001E52FB"/>
    <w:rPr>
      <w:color w:val="605E5C"/>
      <w:shd w:val="clear" w:color="auto" w:fill="E1DFDD"/>
    </w:rPr>
  </w:style>
  <w:style w:type="paragraph" w:styleId="Prrafodelista">
    <w:name w:val="List Paragraph"/>
    <w:aliases w:val="List1,LISTA,Párrafo de lista2,Ha,Resume Title,Bullet List,FooterText,numbered,List Paragraph1,Paragraphe de liste1,lp1,HOJA,Colorful List Accent 1,Colorful List - Accent 11,titulo 3,Colorful List - Accent 111,Bullets,Párrafo de lista1"/>
    <w:basedOn w:val="Normal"/>
    <w:link w:val="PrrafodelistaCar"/>
    <w:uiPriority w:val="34"/>
    <w:qFormat/>
    <w:rsid w:val="00AA010C"/>
    <w:pPr>
      <w:ind w:left="720"/>
      <w:contextualSpacing/>
    </w:pPr>
  </w:style>
  <w:style w:type="character" w:styleId="nfasis">
    <w:name w:val="Emphasis"/>
    <w:basedOn w:val="Fuentedeprrafopredeter"/>
    <w:uiPriority w:val="20"/>
    <w:qFormat/>
    <w:rsid w:val="00BC5487"/>
    <w:rPr>
      <w:i/>
      <w:iCs/>
    </w:rPr>
  </w:style>
  <w:style w:type="character" w:customStyle="1" w:styleId="Ttulo3Car">
    <w:name w:val="Título 3 Car"/>
    <w:basedOn w:val="Fuentedeprrafopredeter"/>
    <w:link w:val="Ttulo3"/>
    <w:uiPriority w:val="9"/>
    <w:rsid w:val="0087649C"/>
    <w:rPr>
      <w:rFonts w:ascii="Times New Roman" w:eastAsia="Times New Roman" w:hAnsi="Times New Roman" w:cs="Times New Roman"/>
      <w:b/>
      <w:bCs/>
      <w:sz w:val="27"/>
      <w:szCs w:val="27"/>
      <w:lang w:eastAsia="es-CO"/>
    </w:rPr>
  </w:style>
  <w:style w:type="table" w:styleId="Tablaconcuadrcula">
    <w:name w:val="Table Grid"/>
    <w:basedOn w:val="Tablanormal"/>
    <w:uiPriority w:val="39"/>
    <w:rsid w:val="00876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0C027A"/>
    <w:rPr>
      <w:rFonts w:asciiTheme="majorHAnsi" w:eastAsiaTheme="majorEastAsia" w:hAnsiTheme="majorHAnsi" w:cstheme="majorBidi"/>
      <w:color w:val="2F5496" w:themeColor="accent1" w:themeShade="BF"/>
      <w:sz w:val="32"/>
      <w:szCs w:val="32"/>
    </w:rPr>
  </w:style>
  <w:style w:type="character" w:customStyle="1" w:styleId="current-time">
    <w:name w:val="current-time"/>
    <w:basedOn w:val="Fuentedeprrafopredeter"/>
    <w:rsid w:val="00646C48"/>
  </w:style>
  <w:style w:type="character" w:customStyle="1" w:styleId="total-time">
    <w:name w:val="total-time"/>
    <w:basedOn w:val="Fuentedeprrafopredeter"/>
    <w:rsid w:val="00646C48"/>
  </w:style>
  <w:style w:type="paragraph" w:styleId="Encabezado">
    <w:name w:val="header"/>
    <w:basedOn w:val="Normal"/>
    <w:link w:val="EncabezadoCar"/>
    <w:uiPriority w:val="99"/>
    <w:unhideWhenUsed/>
    <w:rsid w:val="00541C5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41C59"/>
  </w:style>
  <w:style w:type="paragraph" w:styleId="Piedepgina">
    <w:name w:val="footer"/>
    <w:basedOn w:val="Normal"/>
    <w:link w:val="PiedepginaCar"/>
    <w:uiPriority w:val="99"/>
    <w:unhideWhenUsed/>
    <w:rsid w:val="00541C5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41C59"/>
  </w:style>
  <w:style w:type="character" w:customStyle="1" w:styleId="PrrafodelistaCar">
    <w:name w:val="Párrafo de lista Car"/>
    <w:aliases w:val="List1 Car,LISTA Car,Párrafo de lista2 Car,Ha Car,Resume Title Car,Bullet List Car,FooterText Car,numbered Car,List Paragraph1 Car,Paragraphe de liste1 Car,lp1 Car,HOJA Car,Colorful List Accent 1 Car,Colorful List - Accent 11 Car"/>
    <w:link w:val="Prrafodelista"/>
    <w:uiPriority w:val="99"/>
    <w:qFormat/>
    <w:rsid w:val="00CB761C"/>
  </w:style>
  <w:style w:type="paragraph" w:customStyle="1" w:styleId="Memorandopara">
    <w:name w:val="Memorando para"/>
    <w:basedOn w:val="Normal"/>
    <w:rsid w:val="00D92F50"/>
    <w:pPr>
      <w:suppressAutoHyphens/>
      <w:spacing w:after="0" w:line="260" w:lineRule="exact"/>
    </w:pPr>
    <w:rPr>
      <w:rFonts w:ascii="Arial" w:eastAsia="Times New Roman" w:hAnsi="Arial" w:cs="Arial"/>
      <w:color w:val="000000"/>
      <w:lang w:val="es-ES" w:eastAsia="ar-SA"/>
    </w:rPr>
  </w:style>
  <w:style w:type="paragraph" w:customStyle="1" w:styleId="Textooficio">
    <w:name w:val="Texto oficio"/>
    <w:basedOn w:val="Normal"/>
    <w:qFormat/>
    <w:rsid w:val="004C0EDB"/>
    <w:pPr>
      <w:autoSpaceDE w:val="0"/>
      <w:autoSpaceDN w:val="0"/>
      <w:adjustRightInd w:val="0"/>
      <w:spacing w:after="0" w:line="240" w:lineRule="auto"/>
      <w:jc w:val="both"/>
    </w:pPr>
    <w:rPr>
      <w:rFonts w:ascii="Arial" w:eastAsia="Times New Roman" w:hAnsi="Arial" w:cs="Arial"/>
      <w:color w:val="000000"/>
      <w:lang w:val="es-ES" w:eastAsia="es-ES"/>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hyperlink" Target="https://www.rcnradio.com/recomendado-del-editor/como-prevenir-el-reclutamiento-de-menores" TargetMode="External"/><Relationship Id="rId1" Type="http://schemas.openxmlformats.org/officeDocument/2006/relationships/hyperlink" Target="https://www.ideaspaz.org/publications/posts/198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3WAOZMRwtwSAPu+qcwb+YRvs3+g==">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29</Pages>
  <Words>9190</Words>
  <Characters>53216</Characters>
  <Application>Microsoft Office Word</Application>
  <DocSecurity>0</DocSecurity>
  <Lines>1970</Lines>
  <Paragraphs>843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61563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Santiago Antonio Balcázar Forero</dc:creator>
  <cp:lastModifiedBy>CLAUDIA TERESA SUAREZ NIÑO</cp:lastModifiedBy>
  <cp:revision>5</cp:revision>
  <dcterms:created xsi:type="dcterms:W3CDTF">2025-04-29T17:15:00Z</dcterms:created>
  <dcterms:modified xsi:type="dcterms:W3CDTF">2025-10-03T13:42:00Z</dcterms:modified>
</cp:coreProperties>
</file>